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036" w:rsidRDefault="00481036" w:rsidP="00481036">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44089909"/>
      <w:bookmarkStart w:id="4" w:name="_GoBack"/>
      <w:bookmarkEnd w:id="4"/>
      <w:r>
        <w:rPr>
          <w:sz w:val="28"/>
          <w:szCs w:val="28"/>
        </w:rPr>
        <w:t xml:space="preserve">PROCUREMENT </w:t>
      </w:r>
      <w:bookmarkEnd w:id="0"/>
      <w:bookmarkEnd w:id="1"/>
      <w:r>
        <w:rPr>
          <w:sz w:val="28"/>
          <w:szCs w:val="28"/>
        </w:rPr>
        <w:t>NOTICE</w:t>
      </w:r>
      <w:bookmarkEnd w:id="2"/>
      <w:bookmarkEnd w:id="3"/>
    </w:p>
    <w:p w:rsidR="00481036" w:rsidRDefault="00481036" w:rsidP="00481036">
      <w:pPr>
        <w:rPr>
          <w:sz w:val="28"/>
          <w:szCs w:val="28"/>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481036" w:rsidRDefault="00481036" w:rsidP="00481036">
      <w:pPr>
        <w:tabs>
          <w:tab w:val="left" w:pos="1134"/>
        </w:tabs>
        <w:ind w:left="709"/>
        <w:contextualSpacing/>
        <w:jc w:val="both"/>
        <w:rPr>
          <w:rFonts w:eastAsia="Calibri"/>
          <w:bCs/>
          <w:sz w:val="28"/>
          <w:szCs w:val="28"/>
          <w:lang w:val="en-US" w:eastAsia="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w:t>
      </w:r>
      <w:r w:rsidRPr="00354721">
        <w:rPr>
          <w:rFonts w:ascii="Times New Roman" w:eastAsia="Times New Roman" w:hAnsi="Times New Roman"/>
          <w:sz w:val="28"/>
          <w:szCs w:val="28"/>
          <w:lang w:val="en"/>
        </w:rPr>
        <w:t>Minutes dated </w:t>
      </w:r>
      <w:r w:rsidRPr="0025401B">
        <w:rPr>
          <w:rFonts w:ascii="Times New Roman" w:eastAsia="Times New Roman" w:hAnsi="Times New Roman"/>
          <w:sz w:val="28"/>
          <w:szCs w:val="28"/>
          <w:lang w:val="en-US"/>
        </w:rPr>
        <w:t>29</w:t>
      </w:r>
      <w:r w:rsidRPr="00354721">
        <w:rPr>
          <w:rFonts w:ascii="Times New Roman" w:eastAsia="Times New Roman" w:hAnsi="Times New Roman"/>
          <w:sz w:val="28"/>
          <w:szCs w:val="28"/>
          <w:lang w:val="en"/>
        </w:rPr>
        <w:t>.</w:t>
      </w:r>
      <w:r w:rsidRPr="0025401B">
        <w:rPr>
          <w:rFonts w:ascii="Times New Roman" w:eastAsia="Times New Roman" w:hAnsi="Times New Roman"/>
          <w:sz w:val="28"/>
          <w:szCs w:val="28"/>
          <w:lang w:val="en-US"/>
        </w:rPr>
        <w:t>10</w:t>
      </w:r>
      <w:r w:rsidRPr="00354721">
        <w:rPr>
          <w:rFonts w:ascii="Times New Roman" w:eastAsia="Times New Roman" w:hAnsi="Times New Roman"/>
          <w:sz w:val="28"/>
          <w:szCs w:val="28"/>
          <w:lang w:val="en"/>
        </w:rPr>
        <w:t>.2021 № 1</w:t>
      </w:r>
      <w:r w:rsidRPr="0025401B">
        <w:rPr>
          <w:rFonts w:ascii="Times New Roman" w:eastAsia="Times New Roman" w:hAnsi="Times New Roman"/>
          <w:sz w:val="28"/>
          <w:szCs w:val="28"/>
          <w:lang w:val="en-US"/>
        </w:rPr>
        <w:t>50</w:t>
      </w:r>
      <w:r>
        <w:rPr>
          <w:rFonts w:ascii="Times New Roman" w:hAnsi="Times New Roman"/>
          <w:sz w:val="28"/>
          <w:szCs w:val="28"/>
          <w:lang w:val="en-US"/>
        </w:rPr>
        <w:t>).</w:t>
      </w:r>
    </w:p>
    <w:p w:rsidR="00481036" w:rsidRDefault="00481036" w:rsidP="00481036">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481036" w:rsidRDefault="00481036" w:rsidP="00481036">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w:t>
      </w:r>
      <w:r w:rsidRPr="0050505D">
        <w:rPr>
          <w:rFonts w:ascii="Times New Roman" w:hAnsi="Times New Roman"/>
          <w:sz w:val="28"/>
          <w:szCs w:val="28"/>
          <w:lang w:val="en-US"/>
        </w:rPr>
        <w:t xml:space="preserve">the right to conclude a contract for </w:t>
      </w:r>
      <w:r w:rsidRPr="00EF450D">
        <w:rPr>
          <w:rFonts w:ascii="Times New Roman" w:hAnsi="Times New Roman"/>
          <w:sz w:val="28"/>
          <w:szCs w:val="28"/>
          <w:lang w:val="en-US"/>
        </w:rPr>
        <w:t>rendering business trip support services for Rosatom South East Asia Pte Ltd.</w:t>
      </w:r>
    </w:p>
    <w:p w:rsidR="00481036" w:rsidRDefault="00481036" w:rsidP="00481036">
      <w:pPr>
        <w:tabs>
          <w:tab w:val="left" w:pos="1134"/>
        </w:tabs>
        <w:ind w:left="709"/>
        <w:contextualSpacing/>
        <w:jc w:val="both"/>
        <w:rPr>
          <w:b/>
          <w:spacing w:val="-6"/>
          <w:sz w:val="28"/>
          <w:szCs w:val="28"/>
          <w:lang w:val="en-US"/>
        </w:rPr>
      </w:pPr>
    </w:p>
    <w:p w:rsidR="00481036" w:rsidRPr="00A95599" w:rsidRDefault="00481036" w:rsidP="00481036">
      <w:pPr>
        <w:pStyle w:val="a5"/>
        <w:numPr>
          <w:ilvl w:val="0"/>
          <w:numId w:val="3"/>
        </w:numPr>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Customer acting as Procurement Organizer: </w:t>
      </w:r>
      <w:r w:rsidRPr="00EF450D">
        <w:rPr>
          <w:rFonts w:ascii="Times New Roman" w:hAnsi="Times New Roman"/>
          <w:sz w:val="28"/>
          <w:szCs w:val="28"/>
          <w:lang w:val="en-US"/>
        </w:rPr>
        <w:t>Rosatom South East Asia Pte Ltd</w:t>
      </w:r>
      <w:r>
        <w:rPr>
          <w:rFonts w:ascii="Times New Roman" w:hAnsi="Times New Roman"/>
          <w:sz w:val="28"/>
          <w:szCs w:val="28"/>
          <w:lang w:val="en-US"/>
        </w:rPr>
        <w:t xml:space="preserve">. </w:t>
      </w:r>
    </w:p>
    <w:p w:rsidR="00481036" w:rsidRPr="00A95599" w:rsidRDefault="00481036" w:rsidP="00481036">
      <w:pPr>
        <w:pStyle w:val="a5"/>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Location: </w:t>
      </w:r>
      <w:r>
        <w:rPr>
          <w:rFonts w:ascii="Times New Roman" w:hAnsi="Times New Roman"/>
          <w:sz w:val="28"/>
          <w:szCs w:val="28"/>
          <w:lang w:val="en-US"/>
        </w:rPr>
        <w:t>Singapore</w:t>
      </w:r>
      <w:r w:rsidRPr="003E5776">
        <w:rPr>
          <w:rFonts w:ascii="Times New Roman" w:hAnsi="Times New Roman"/>
          <w:sz w:val="28"/>
          <w:szCs w:val="28"/>
          <w:lang w:val="en-US"/>
        </w:rPr>
        <w:t>.</w:t>
      </w:r>
    </w:p>
    <w:p w:rsidR="00481036" w:rsidRPr="00A95599" w:rsidRDefault="00481036" w:rsidP="00481036">
      <w:pPr>
        <w:pStyle w:val="a5"/>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Postal address: </w:t>
      </w:r>
      <w:r w:rsidRPr="00B0502F">
        <w:rPr>
          <w:rFonts w:ascii="Times New Roman" w:hAnsi="Times New Roman"/>
          <w:sz w:val="28"/>
          <w:szCs w:val="28"/>
          <w:lang w:val="en-US"/>
        </w:rPr>
        <w:t>20 Collyer Quay #09-05, Singapore 049319.</w:t>
      </w:r>
    </w:p>
    <w:p w:rsidR="00481036" w:rsidRPr="00B0502F" w:rsidRDefault="00481036" w:rsidP="00481036">
      <w:pPr>
        <w:pStyle w:val="a5"/>
        <w:tabs>
          <w:tab w:val="left" w:pos="0"/>
          <w:tab w:val="left" w:pos="1134"/>
        </w:tabs>
        <w:spacing w:line="240" w:lineRule="auto"/>
        <w:ind w:left="993"/>
        <w:jc w:val="both"/>
        <w:rPr>
          <w:rFonts w:ascii="Times New Roman" w:hAnsi="Times New Roman"/>
          <w:sz w:val="28"/>
          <w:szCs w:val="28"/>
          <w:lang w:val="en-US"/>
        </w:rPr>
      </w:pPr>
      <w:r w:rsidRPr="00B0502F">
        <w:rPr>
          <w:rFonts w:ascii="Times New Roman" w:hAnsi="Times New Roman"/>
          <w:sz w:val="28"/>
          <w:szCs w:val="28"/>
          <w:lang w:val="en-US"/>
        </w:rPr>
        <w:t xml:space="preserve">Tel.: </w:t>
      </w:r>
      <w:bookmarkStart w:id="5" w:name="_MailAutoSig"/>
      <w:r w:rsidRPr="00B0502F">
        <w:rPr>
          <w:rFonts w:ascii="Times New Roman" w:hAnsi="Times New Roman"/>
          <w:sz w:val="28"/>
          <w:szCs w:val="28"/>
          <w:lang w:val="en-US"/>
        </w:rPr>
        <w:t>+65 9112 6022 </w:t>
      </w:r>
      <w:bookmarkEnd w:id="5"/>
    </w:p>
    <w:p w:rsidR="00481036" w:rsidRPr="00B0502F" w:rsidRDefault="00481036" w:rsidP="00481036">
      <w:pPr>
        <w:pStyle w:val="a5"/>
        <w:tabs>
          <w:tab w:val="left" w:pos="0"/>
          <w:tab w:val="left" w:pos="1134"/>
        </w:tabs>
        <w:spacing w:line="240" w:lineRule="auto"/>
        <w:ind w:left="993"/>
        <w:jc w:val="both"/>
        <w:rPr>
          <w:rFonts w:ascii="Times New Roman" w:hAnsi="Times New Roman"/>
          <w:sz w:val="28"/>
          <w:szCs w:val="28"/>
          <w:lang w:val="en-US"/>
        </w:rPr>
      </w:pPr>
      <w:r w:rsidRPr="00B0502F">
        <w:rPr>
          <w:rFonts w:ascii="Times New Roman" w:hAnsi="Times New Roman"/>
          <w:sz w:val="28"/>
          <w:szCs w:val="28"/>
          <w:lang w:val="en-US"/>
        </w:rPr>
        <w:t xml:space="preserve">        +65 </w:t>
      </w:r>
      <w:r>
        <w:rPr>
          <w:rFonts w:ascii="Times New Roman" w:hAnsi="Times New Roman"/>
          <w:sz w:val="28"/>
          <w:szCs w:val="28"/>
          <w:lang w:val="en-US"/>
        </w:rPr>
        <w:t>8385 1112</w:t>
      </w:r>
    </w:p>
    <w:p w:rsidR="00481036" w:rsidRPr="00FD41D4" w:rsidRDefault="00481036" w:rsidP="00481036">
      <w:pPr>
        <w:pStyle w:val="a5"/>
        <w:spacing w:line="240" w:lineRule="auto"/>
        <w:ind w:left="993"/>
        <w:rPr>
          <w:rFonts w:ascii="Times New Roman" w:hAnsi="Times New Roman"/>
          <w:sz w:val="28"/>
          <w:szCs w:val="28"/>
          <w:lang w:val="en-US"/>
        </w:rPr>
      </w:pPr>
      <w:r w:rsidRPr="00685361">
        <w:rPr>
          <w:rFonts w:ascii="Times New Roman" w:hAnsi="Times New Roman"/>
          <w:sz w:val="28"/>
          <w:szCs w:val="28"/>
          <w:lang w:val="en-US"/>
        </w:rPr>
        <w:t>Contact person:</w:t>
      </w:r>
      <w:r w:rsidRPr="00FD41D4">
        <w:rPr>
          <w:rFonts w:ascii="Times New Roman" w:hAnsi="Times New Roman"/>
          <w:sz w:val="28"/>
          <w:szCs w:val="28"/>
          <w:lang w:val="en-US"/>
        </w:rPr>
        <w:t xml:space="preserve"> </w:t>
      </w:r>
      <w:r>
        <w:rPr>
          <w:rFonts w:ascii="Times New Roman" w:hAnsi="Times New Roman"/>
          <w:sz w:val="28"/>
          <w:szCs w:val="28"/>
          <w:lang w:val="en-US"/>
        </w:rPr>
        <w:t>Kolmykova</w:t>
      </w:r>
      <w:r w:rsidRPr="00BC76C3">
        <w:rPr>
          <w:rFonts w:ascii="Times New Roman" w:hAnsi="Times New Roman"/>
          <w:sz w:val="28"/>
          <w:szCs w:val="28"/>
          <w:lang w:val="en-US"/>
        </w:rPr>
        <w:t xml:space="preserve"> </w:t>
      </w:r>
      <w:r>
        <w:rPr>
          <w:rFonts w:ascii="Times New Roman" w:hAnsi="Times New Roman"/>
          <w:sz w:val="28"/>
          <w:szCs w:val="28"/>
          <w:lang w:val="en-US"/>
        </w:rPr>
        <w:t>Olga</w:t>
      </w:r>
    </w:p>
    <w:p w:rsidR="00481036" w:rsidRPr="00FD41D4" w:rsidRDefault="00481036" w:rsidP="00481036">
      <w:pPr>
        <w:pStyle w:val="a5"/>
        <w:spacing w:line="240" w:lineRule="auto"/>
        <w:ind w:left="993"/>
        <w:rPr>
          <w:rFonts w:ascii="Times New Roman" w:hAnsi="Times New Roman"/>
          <w:sz w:val="28"/>
          <w:szCs w:val="28"/>
          <w:lang w:val="en-US"/>
        </w:rPr>
      </w:pPr>
      <w:r w:rsidRPr="00685361">
        <w:rPr>
          <w:rFonts w:ascii="Times New Roman" w:hAnsi="Times New Roman"/>
          <w:sz w:val="28"/>
          <w:szCs w:val="28"/>
          <w:lang w:val="en-US"/>
        </w:rPr>
        <w:t xml:space="preserve">Email: </w:t>
      </w:r>
      <w:r w:rsidRPr="00FD41D4">
        <w:rPr>
          <w:rFonts w:ascii="Times New Roman" w:hAnsi="Times New Roman"/>
          <w:sz w:val="28"/>
          <w:szCs w:val="28"/>
          <w:lang w:val="en-US"/>
        </w:rPr>
        <w:t>OKolmykova@rosatominternational.com</w:t>
      </w:r>
    </w:p>
    <w:p w:rsidR="00481036" w:rsidRDefault="00481036" w:rsidP="00481036">
      <w:pPr>
        <w:tabs>
          <w:tab w:val="left" w:pos="1134"/>
        </w:tabs>
        <w:ind w:firstLine="709"/>
        <w:contextualSpacing/>
        <w:rPr>
          <w:sz w:val="28"/>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481036" w:rsidRDefault="00481036" w:rsidP="00481036">
      <w:pPr>
        <w:tabs>
          <w:tab w:val="left" w:pos="1134"/>
        </w:tabs>
        <w:ind w:firstLine="709"/>
        <w:contextualSpacing/>
        <w:rPr>
          <w:sz w:val="28"/>
          <w:szCs w:val="28"/>
        </w:rPr>
      </w:pPr>
    </w:p>
    <w:p w:rsidR="00481036" w:rsidRPr="0050505D"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b/>
          <w:sz w:val="28"/>
          <w:szCs w:val="28"/>
          <w:lang w:val="en-US"/>
        </w:rPr>
      </w:pPr>
      <w:r>
        <w:rPr>
          <w:rFonts w:ascii="Times New Roman" w:hAnsi="Times New Roman"/>
          <w:sz w:val="28"/>
          <w:szCs w:val="28"/>
          <w:lang w:val="en-US"/>
        </w:rPr>
        <w:t xml:space="preserve">Subject matter of the contract: </w:t>
      </w:r>
      <w:r w:rsidRPr="00EF450D">
        <w:rPr>
          <w:rFonts w:ascii="Times New Roman" w:hAnsi="Times New Roman"/>
          <w:sz w:val="28"/>
          <w:szCs w:val="28"/>
          <w:lang w:val="en-US"/>
        </w:rPr>
        <w:t>rendering business trip support services for Rosatom South East Asia Pte Ltd</w:t>
      </w:r>
      <w:r w:rsidRPr="0050505D">
        <w:rPr>
          <w:rFonts w:ascii="Times New Roman" w:hAnsi="Times New Roman"/>
          <w:sz w:val="28"/>
          <w:szCs w:val="28"/>
          <w:lang w:val="en-US"/>
        </w:rPr>
        <w:t>.</w:t>
      </w:r>
    </w:p>
    <w:p w:rsidR="00481036" w:rsidRDefault="00481036" w:rsidP="00481036">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sidRPr="00426B46">
        <w:rPr>
          <w:sz w:val="28"/>
          <w:szCs w:val="28"/>
          <w:lang w:val="en-US"/>
        </w:rPr>
        <w:t>.</w:t>
      </w:r>
    </w:p>
    <w:p w:rsidR="00481036" w:rsidRDefault="00481036" w:rsidP="00481036">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481036" w:rsidRDefault="00481036" w:rsidP="00481036">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481036" w:rsidRDefault="00481036" w:rsidP="00481036">
      <w:pPr>
        <w:tabs>
          <w:tab w:val="left" w:pos="1134"/>
        </w:tabs>
        <w:ind w:firstLine="709"/>
        <w:contextualSpacing/>
        <w:jc w:val="both"/>
        <w:rPr>
          <w:sz w:val="28"/>
          <w:szCs w:val="28"/>
          <w:highlight w:val="yellow"/>
          <w:lang w:val="en-US"/>
        </w:rPr>
      </w:pPr>
      <w:r>
        <w:rPr>
          <w:sz w:val="28"/>
          <w:szCs w:val="28"/>
          <w:lang w:val="en-US"/>
        </w:rPr>
        <w:t>Approximate scope of services for evaluation and comparison of bids:</w:t>
      </w:r>
    </w:p>
    <w:tbl>
      <w:tblPr>
        <w:tblW w:w="8223" w:type="dxa"/>
        <w:jc w:val="center"/>
        <w:tblLayout w:type="fixed"/>
        <w:tblLook w:val="04A0" w:firstRow="1" w:lastRow="0" w:firstColumn="1" w:lastColumn="0" w:noHBand="0" w:noVBand="1"/>
      </w:tblPr>
      <w:tblGrid>
        <w:gridCol w:w="4542"/>
        <w:gridCol w:w="3681"/>
      </w:tblGrid>
      <w:tr w:rsidR="00481036" w:rsidRPr="00673020" w:rsidTr="00735118">
        <w:trPr>
          <w:trHeight w:val="470"/>
          <w:jc w:val="center"/>
        </w:trPr>
        <w:tc>
          <w:tcPr>
            <w:tcW w:w="4542" w:type="dxa"/>
            <w:tcBorders>
              <w:top w:val="single" w:sz="4" w:space="0" w:color="auto"/>
              <w:left w:val="single" w:sz="4" w:space="0" w:color="auto"/>
              <w:right w:val="single" w:sz="4" w:space="0" w:color="auto"/>
            </w:tcBorders>
            <w:vAlign w:val="center"/>
            <w:hideMark/>
          </w:tcPr>
          <w:p w:rsidR="00481036" w:rsidRPr="0050505D" w:rsidRDefault="00481036" w:rsidP="00735118">
            <w:pPr>
              <w:jc w:val="center"/>
              <w:rPr>
                <w:b/>
                <w:bCs/>
                <w:highlight w:val="yellow"/>
              </w:rPr>
            </w:pPr>
            <w:r w:rsidRPr="0050505D">
              <w:rPr>
                <w:b/>
                <w:bCs/>
              </w:rPr>
              <w:t>Transaction name</w:t>
            </w:r>
          </w:p>
        </w:tc>
        <w:tc>
          <w:tcPr>
            <w:tcW w:w="3681" w:type="dxa"/>
            <w:tcBorders>
              <w:top w:val="single" w:sz="4" w:space="0" w:color="auto"/>
              <w:left w:val="single" w:sz="4" w:space="0" w:color="auto"/>
              <w:right w:val="single" w:sz="4" w:space="0" w:color="auto"/>
            </w:tcBorders>
            <w:vAlign w:val="center"/>
            <w:hideMark/>
          </w:tcPr>
          <w:p w:rsidR="00481036" w:rsidRPr="0050505D" w:rsidRDefault="00481036" w:rsidP="00735118">
            <w:pPr>
              <w:jc w:val="center"/>
              <w:rPr>
                <w:b/>
                <w:bCs/>
                <w:highlight w:val="yellow"/>
                <w:lang w:val="en-US"/>
              </w:rPr>
            </w:pPr>
            <w:r w:rsidRPr="00161D55">
              <w:rPr>
                <w:b/>
                <w:lang w:val="en-US"/>
              </w:rPr>
              <w:t>Approximate share of total separately paid services (not included in the other services price) (W</w:t>
            </w:r>
            <w:r w:rsidRPr="00161D55">
              <w:rPr>
                <w:b/>
                <w:vertAlign w:val="subscript"/>
                <w:lang w:val="en-US"/>
              </w:rPr>
              <w:t>k</w:t>
            </w:r>
            <w:r w:rsidRPr="00161D55">
              <w:rPr>
                <w:b/>
                <w:lang w:val="en-US"/>
              </w:rPr>
              <w:t>)</w:t>
            </w:r>
          </w:p>
        </w:tc>
      </w:tr>
      <w:tr w:rsidR="00481036" w:rsidRPr="0050505D" w:rsidTr="00735118">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81036" w:rsidRPr="00CC4AA1" w:rsidRDefault="00481036" w:rsidP="00735118">
            <w:pPr>
              <w:rPr>
                <w:lang w:val="en-US"/>
              </w:rPr>
            </w:pPr>
            <w:r w:rsidRPr="00CC4AA1">
              <w:rPr>
                <w:lang w:val="en-US"/>
              </w:rPr>
              <w:t>Air tickets for flights inside ASEAN region</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81036" w:rsidRPr="00161D55" w:rsidRDefault="00481036" w:rsidP="00735118">
            <w:pPr>
              <w:jc w:val="center"/>
            </w:pPr>
            <w:r>
              <w:rPr>
                <w:lang w:val="en-US"/>
              </w:rPr>
              <w:t>44</w:t>
            </w:r>
            <w:r w:rsidRPr="00161D55">
              <w:t>%</w:t>
            </w:r>
          </w:p>
        </w:tc>
      </w:tr>
      <w:tr w:rsidR="00481036" w:rsidRPr="0050505D" w:rsidTr="00735118">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81036" w:rsidRPr="00CC4AA1" w:rsidRDefault="00481036" w:rsidP="00735118">
            <w:pPr>
              <w:rPr>
                <w:lang w:val="en-US"/>
              </w:rPr>
            </w:pPr>
            <w:r w:rsidRPr="00CC4AA1">
              <w:rPr>
                <w:lang w:val="en-US"/>
              </w:rPr>
              <w:t>Air tickets for flights outside ASEAN region</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81036" w:rsidRPr="00161D55" w:rsidRDefault="00481036" w:rsidP="00735118">
            <w:pPr>
              <w:jc w:val="center"/>
            </w:pPr>
            <w:r>
              <w:rPr>
                <w:lang w:val="en-US"/>
              </w:rPr>
              <w:t>4</w:t>
            </w:r>
            <w:r w:rsidRPr="00161D55">
              <w:t>%</w:t>
            </w:r>
          </w:p>
        </w:tc>
      </w:tr>
      <w:tr w:rsidR="00481036" w:rsidRPr="0050505D" w:rsidTr="00735118">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81036" w:rsidRPr="00CC4AA1" w:rsidRDefault="00481036" w:rsidP="00735118">
            <w:pPr>
              <w:rPr>
                <w:lang w:val="en-US"/>
              </w:rPr>
            </w:pPr>
            <w:r w:rsidRPr="00CC4AA1">
              <w:rPr>
                <w:lang w:val="en-US"/>
              </w:rPr>
              <w:t>Organization of transfers/taxi/road transport services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81036" w:rsidRPr="00161D55" w:rsidRDefault="00481036" w:rsidP="00735118">
            <w:pPr>
              <w:jc w:val="center"/>
            </w:pPr>
            <w:r>
              <w:rPr>
                <w:lang w:val="en-US"/>
              </w:rPr>
              <w:t>2</w:t>
            </w:r>
            <w:r w:rsidRPr="00161D55">
              <w:t>%</w:t>
            </w:r>
          </w:p>
        </w:tc>
      </w:tr>
      <w:tr w:rsidR="00481036" w:rsidRPr="0050505D" w:rsidTr="00735118">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81036" w:rsidRPr="00CC4AA1" w:rsidRDefault="00481036" w:rsidP="00735118">
            <w:pPr>
              <w:rPr>
                <w:lang w:val="en-US"/>
              </w:rPr>
            </w:pPr>
            <w:r w:rsidRPr="00CC4AA1">
              <w:rPr>
                <w:lang w:val="en-US"/>
              </w:rPr>
              <w:t>Booking of hotels inside ASEAN region</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81036" w:rsidRPr="00161D55" w:rsidRDefault="00481036" w:rsidP="00735118">
            <w:pPr>
              <w:jc w:val="center"/>
            </w:pPr>
            <w:r>
              <w:rPr>
                <w:lang w:val="en-US"/>
              </w:rPr>
              <w:t>44</w:t>
            </w:r>
            <w:r w:rsidRPr="00161D55">
              <w:t>%</w:t>
            </w:r>
          </w:p>
        </w:tc>
      </w:tr>
      <w:tr w:rsidR="00481036" w:rsidRPr="00BD2847" w:rsidTr="00735118">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81036" w:rsidRPr="00CC4AA1" w:rsidRDefault="00481036" w:rsidP="00735118">
            <w:pPr>
              <w:rPr>
                <w:lang w:val="en-US"/>
              </w:rPr>
            </w:pPr>
            <w:r w:rsidRPr="00CC4AA1">
              <w:rPr>
                <w:lang w:val="en-US"/>
              </w:rPr>
              <w:t>Booking of hotels outside ASEAN region</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81036" w:rsidRPr="00BD2847" w:rsidRDefault="00481036" w:rsidP="00735118">
            <w:pPr>
              <w:jc w:val="center"/>
              <w:rPr>
                <w:lang w:val="en-US"/>
              </w:rPr>
            </w:pPr>
            <w:r>
              <w:rPr>
                <w:lang w:val="en-US"/>
              </w:rPr>
              <w:t>4</w:t>
            </w:r>
            <w:r w:rsidRPr="00161D55">
              <w:t>%</w:t>
            </w:r>
          </w:p>
        </w:tc>
      </w:tr>
      <w:tr w:rsidR="00481036" w:rsidRPr="0050505D" w:rsidTr="00735118">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81036" w:rsidRPr="00CC4AA1" w:rsidRDefault="00481036" w:rsidP="00735118">
            <w:pPr>
              <w:rPr>
                <w:lang w:val="en-US"/>
              </w:rPr>
            </w:pPr>
            <w:r w:rsidRPr="00CC4AA1">
              <w:rPr>
                <w:lang w:val="en-US"/>
              </w:rPr>
              <w:t>Support in visa application Worldwide</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81036" w:rsidRPr="00161D55" w:rsidRDefault="00481036" w:rsidP="00735118">
            <w:pPr>
              <w:jc w:val="center"/>
            </w:pPr>
            <w:r>
              <w:t>1</w:t>
            </w:r>
            <w:r w:rsidRPr="00161D55">
              <w:t>%</w:t>
            </w:r>
          </w:p>
        </w:tc>
      </w:tr>
      <w:tr w:rsidR="00481036" w:rsidRPr="0050505D" w:rsidTr="00735118">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81036" w:rsidRPr="00CC4AA1" w:rsidRDefault="00481036" w:rsidP="00735118">
            <w:pPr>
              <w:rPr>
                <w:lang w:val="en-US"/>
              </w:rPr>
            </w:pPr>
            <w:r w:rsidRPr="00CC4AA1">
              <w:rPr>
                <w:lang w:val="en-US"/>
              </w:rPr>
              <w:t>Reissue or rerouting of tickets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81036" w:rsidRPr="00161D55" w:rsidRDefault="00481036" w:rsidP="00735118">
            <w:pPr>
              <w:jc w:val="center"/>
            </w:pPr>
            <w:r>
              <w:t>0,5</w:t>
            </w:r>
            <w:r w:rsidRPr="00161D55">
              <w:t>%</w:t>
            </w:r>
          </w:p>
        </w:tc>
      </w:tr>
      <w:tr w:rsidR="00481036" w:rsidRPr="0050505D" w:rsidTr="00735118">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81036" w:rsidRPr="00CC4AA1" w:rsidRDefault="00481036" w:rsidP="00735118">
            <w:pPr>
              <w:rPr>
                <w:lang w:val="en-US"/>
              </w:rPr>
            </w:pPr>
            <w:r w:rsidRPr="00CC4AA1">
              <w:rPr>
                <w:lang w:val="en-US"/>
              </w:rPr>
              <w:lastRenderedPageBreak/>
              <w:t>Update re covid restrictions related travel arrangements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81036" w:rsidRPr="00161D55" w:rsidRDefault="00481036" w:rsidP="00735118">
            <w:pPr>
              <w:jc w:val="center"/>
            </w:pPr>
            <w:r>
              <w:t>0,5</w:t>
            </w:r>
            <w:r w:rsidRPr="00161D55">
              <w:t>%</w:t>
            </w:r>
          </w:p>
        </w:tc>
      </w:tr>
      <w:tr w:rsidR="00481036" w:rsidTr="00735118">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81036" w:rsidRPr="00161D55" w:rsidRDefault="00481036" w:rsidP="00735118">
            <w:pPr>
              <w:pStyle w:val="a5"/>
              <w:tabs>
                <w:tab w:val="left" w:pos="0"/>
                <w:tab w:val="left" w:pos="1134"/>
              </w:tabs>
              <w:spacing w:after="0" w:line="240" w:lineRule="auto"/>
              <w:ind w:left="0"/>
              <w:jc w:val="right"/>
              <w:rPr>
                <w:rFonts w:ascii="Times New Roman" w:hAnsi="Times New Roman"/>
                <w:b/>
                <w:sz w:val="24"/>
                <w:szCs w:val="24"/>
              </w:rPr>
            </w:pPr>
            <w:r w:rsidRPr="00161D55">
              <w:rPr>
                <w:rFonts w:ascii="Times New Roman" w:hAnsi="Times New Roman"/>
                <w:b/>
                <w:sz w:val="24"/>
                <w:szCs w:val="24"/>
                <w:lang w:val="en-US"/>
              </w:rPr>
              <w:t>Total</w:t>
            </w:r>
            <w:r w:rsidRPr="00161D55">
              <w:rPr>
                <w:rFonts w:ascii="Times New Roman" w:hAnsi="Times New Roman"/>
                <w:b/>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81036" w:rsidRPr="00161D55" w:rsidRDefault="00481036" w:rsidP="00735118">
            <w:pPr>
              <w:jc w:val="center"/>
              <w:rPr>
                <w:b/>
              </w:rPr>
            </w:pPr>
            <w:r w:rsidRPr="00161D55">
              <w:rPr>
                <w:b/>
              </w:rPr>
              <w:t>100%</w:t>
            </w:r>
          </w:p>
        </w:tc>
      </w:tr>
    </w:tbl>
    <w:p w:rsidR="00481036" w:rsidRDefault="00481036" w:rsidP="00481036">
      <w:pPr>
        <w:tabs>
          <w:tab w:val="left" w:pos="1134"/>
        </w:tabs>
        <w:ind w:firstLine="709"/>
        <w:contextualSpacing/>
        <w:jc w:val="both"/>
        <w:rPr>
          <w:sz w:val="28"/>
          <w:szCs w:val="28"/>
          <w:lang w:val="en-US"/>
        </w:rPr>
      </w:pPr>
    </w:p>
    <w:p w:rsidR="00481036" w:rsidRDefault="00481036" w:rsidP="00481036">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481036" w:rsidRDefault="00481036" w:rsidP="00481036">
      <w:pPr>
        <w:tabs>
          <w:tab w:val="left" w:pos="1134"/>
        </w:tabs>
        <w:ind w:firstLine="709"/>
        <w:contextualSpacing/>
        <w:jc w:val="both"/>
        <w:rPr>
          <w:b/>
          <w:i/>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481036" w:rsidRDefault="00481036" w:rsidP="00481036">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481036" w:rsidRDefault="00481036" w:rsidP="00481036">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481036" w:rsidRDefault="00481036" w:rsidP="00481036">
      <w:pPr>
        <w:tabs>
          <w:tab w:val="left" w:pos="1134"/>
        </w:tabs>
        <w:ind w:firstLine="709"/>
        <w:contextualSpacing/>
        <w:jc w:val="both"/>
        <w:rPr>
          <w:sz w:val="28"/>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6" w:name="_Ref27655761"/>
      <w:r>
        <w:rPr>
          <w:rFonts w:ascii="Times New Roman" w:hAnsi="Times New Roman"/>
          <w:sz w:val="28"/>
          <w:szCs w:val="28"/>
          <w:lang w:val="en-US"/>
        </w:rPr>
        <w:t>The initial (maximum) unit prices:</w:t>
      </w:r>
      <w:bookmarkEnd w:id="6"/>
      <w:r>
        <w:rPr>
          <w:rFonts w:ascii="Times New Roman" w:hAnsi="Times New Roman"/>
          <w:sz w:val="28"/>
          <w:szCs w:val="28"/>
          <w:lang w:val="en-US"/>
        </w:rPr>
        <w:t xml:space="preserve"> </w:t>
      </w:r>
    </w:p>
    <w:tbl>
      <w:tblPr>
        <w:tblStyle w:val="a7"/>
        <w:tblW w:w="0" w:type="auto"/>
        <w:tblInd w:w="108" w:type="dxa"/>
        <w:tblLayout w:type="fixed"/>
        <w:tblLook w:val="04A0" w:firstRow="1" w:lastRow="0" w:firstColumn="1" w:lastColumn="0" w:noHBand="0" w:noVBand="1"/>
      </w:tblPr>
      <w:tblGrid>
        <w:gridCol w:w="567"/>
        <w:gridCol w:w="5983"/>
        <w:gridCol w:w="3260"/>
      </w:tblGrid>
      <w:tr w:rsidR="00481036" w:rsidRPr="00673020" w:rsidTr="00735118">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rsidR="00481036" w:rsidRPr="002E073D" w:rsidRDefault="00481036" w:rsidP="00735118">
            <w:pPr>
              <w:jc w:val="center"/>
              <w:rPr>
                <w:b/>
              </w:rPr>
            </w:pPr>
            <w:r w:rsidRPr="002E073D">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481036" w:rsidRPr="002E073D" w:rsidRDefault="00481036" w:rsidP="00735118">
            <w:pPr>
              <w:jc w:val="center"/>
              <w:rPr>
                <w:b/>
              </w:rPr>
            </w:pPr>
            <w:r w:rsidRPr="002E073D">
              <w:rPr>
                <w:b/>
                <w:lang w:val="en-US"/>
              </w:rPr>
              <w:t>Name</w:t>
            </w:r>
            <w:r w:rsidRPr="002E073D">
              <w:rPr>
                <w:b/>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1036" w:rsidRPr="002E073D" w:rsidRDefault="00481036" w:rsidP="00735118">
            <w:pPr>
              <w:jc w:val="center"/>
              <w:rPr>
                <w:b/>
                <w:lang w:val="en-US"/>
              </w:rPr>
            </w:pPr>
            <w:r w:rsidRPr="002E073D">
              <w:rPr>
                <w:b/>
                <w:lang w:val="en-US"/>
              </w:rPr>
              <w:t xml:space="preserve">Initial (maximum) unit prices, </w:t>
            </w:r>
            <w:r>
              <w:rPr>
                <w:sz w:val="28"/>
                <w:szCs w:val="28"/>
                <w:lang w:val="en-US"/>
              </w:rPr>
              <w:t>SGD</w:t>
            </w:r>
            <w:r w:rsidRPr="002E073D">
              <w:rPr>
                <w:b/>
                <w:lang w:val="en-US"/>
              </w:rPr>
              <w:t xml:space="preserve">, including </w:t>
            </w:r>
            <w:r>
              <w:rPr>
                <w:sz w:val="28"/>
                <w:szCs w:val="28"/>
                <w:lang w:val="en-US"/>
              </w:rPr>
              <w:t>VAT</w:t>
            </w:r>
            <w:r w:rsidRPr="002E073D">
              <w:rPr>
                <w:b/>
                <w:lang w:val="en-US"/>
              </w:rPr>
              <w:t xml:space="preserve"> and all applicable taxes </w:t>
            </w:r>
          </w:p>
        </w:tc>
      </w:tr>
      <w:tr w:rsidR="00481036" w:rsidRPr="0050505D" w:rsidTr="00735118">
        <w:trPr>
          <w:trHeight w:val="305"/>
        </w:trPr>
        <w:tc>
          <w:tcPr>
            <w:tcW w:w="567" w:type="dxa"/>
            <w:tcBorders>
              <w:top w:val="single" w:sz="4" w:space="0" w:color="auto"/>
              <w:left w:val="single" w:sz="4" w:space="0" w:color="auto"/>
              <w:right w:val="single" w:sz="4" w:space="0" w:color="auto"/>
            </w:tcBorders>
            <w:hideMark/>
          </w:tcPr>
          <w:p w:rsidR="00481036" w:rsidRPr="002E073D" w:rsidRDefault="00481036" w:rsidP="00735118">
            <w:pPr>
              <w:pStyle w:val="a5"/>
              <w:tabs>
                <w:tab w:val="left" w:pos="0"/>
              </w:tabs>
              <w:ind w:left="0"/>
              <w:jc w:val="center"/>
              <w:rPr>
                <w:rFonts w:ascii="Times New Roman" w:hAnsi="Times New Roman"/>
              </w:rPr>
            </w:pPr>
            <w:r w:rsidRPr="002E073D">
              <w:rPr>
                <w:rFonts w:ascii="Times New Roman" w:hAnsi="Times New Roman"/>
              </w:rPr>
              <w:t>1</w:t>
            </w:r>
          </w:p>
        </w:tc>
        <w:tc>
          <w:tcPr>
            <w:tcW w:w="5983" w:type="dxa"/>
            <w:tcBorders>
              <w:top w:val="single" w:sz="4" w:space="0" w:color="auto"/>
              <w:left w:val="single" w:sz="4" w:space="0" w:color="auto"/>
              <w:right w:val="single" w:sz="4" w:space="0" w:color="auto"/>
            </w:tcBorders>
            <w:hideMark/>
          </w:tcPr>
          <w:p w:rsidR="00481036" w:rsidRPr="00CC4AA1" w:rsidRDefault="00481036" w:rsidP="00735118">
            <w:pPr>
              <w:rPr>
                <w:lang w:val="en-US"/>
              </w:rPr>
            </w:pPr>
            <w:r w:rsidRPr="00CC4AA1">
              <w:rPr>
                <w:lang w:val="en-US"/>
              </w:rPr>
              <w:t>Air tickets for flights inside ASEAN region</w:t>
            </w:r>
          </w:p>
        </w:tc>
        <w:tc>
          <w:tcPr>
            <w:tcW w:w="3260" w:type="dxa"/>
            <w:tcBorders>
              <w:top w:val="single" w:sz="4" w:space="0" w:color="auto"/>
              <w:left w:val="single" w:sz="4" w:space="0" w:color="auto"/>
              <w:right w:val="single" w:sz="4" w:space="0" w:color="auto"/>
            </w:tcBorders>
            <w:vAlign w:val="bottom"/>
          </w:tcPr>
          <w:p w:rsidR="00481036" w:rsidRPr="002C27ED" w:rsidRDefault="00481036" w:rsidP="00735118">
            <w:pPr>
              <w:jc w:val="center"/>
              <w:rPr>
                <w:lang w:val="en-US"/>
              </w:rPr>
            </w:pPr>
            <w:r w:rsidRPr="002C27ED">
              <w:rPr>
                <w:lang w:val="en-US"/>
              </w:rPr>
              <w:t>40,00</w:t>
            </w:r>
          </w:p>
        </w:tc>
      </w:tr>
      <w:tr w:rsidR="00481036" w:rsidRPr="0050505D" w:rsidTr="00735118">
        <w:trPr>
          <w:trHeight w:val="158"/>
        </w:trPr>
        <w:tc>
          <w:tcPr>
            <w:tcW w:w="567" w:type="dxa"/>
            <w:tcBorders>
              <w:top w:val="single" w:sz="4" w:space="0" w:color="auto"/>
              <w:left w:val="single" w:sz="4" w:space="0" w:color="auto"/>
              <w:right w:val="single" w:sz="4" w:space="0" w:color="auto"/>
            </w:tcBorders>
            <w:hideMark/>
          </w:tcPr>
          <w:p w:rsidR="00481036" w:rsidRPr="002E073D" w:rsidRDefault="00481036" w:rsidP="00735118">
            <w:pPr>
              <w:pStyle w:val="a5"/>
              <w:tabs>
                <w:tab w:val="left" w:pos="0"/>
              </w:tabs>
              <w:ind w:left="0"/>
              <w:jc w:val="center"/>
              <w:rPr>
                <w:rFonts w:ascii="Times New Roman" w:hAnsi="Times New Roman"/>
              </w:rPr>
            </w:pPr>
            <w:r w:rsidRPr="002E073D">
              <w:rPr>
                <w:rFonts w:ascii="Times New Roman" w:hAnsi="Times New Roman"/>
              </w:rPr>
              <w:t>2</w:t>
            </w:r>
          </w:p>
        </w:tc>
        <w:tc>
          <w:tcPr>
            <w:tcW w:w="5983" w:type="dxa"/>
            <w:tcBorders>
              <w:top w:val="single" w:sz="4" w:space="0" w:color="auto"/>
              <w:left w:val="single" w:sz="4" w:space="0" w:color="auto"/>
              <w:right w:val="single" w:sz="4" w:space="0" w:color="auto"/>
            </w:tcBorders>
            <w:hideMark/>
          </w:tcPr>
          <w:p w:rsidR="00481036" w:rsidRPr="00CC4AA1" w:rsidRDefault="00481036" w:rsidP="00735118">
            <w:pPr>
              <w:rPr>
                <w:lang w:val="en-US"/>
              </w:rPr>
            </w:pPr>
            <w:r w:rsidRPr="00CC4AA1">
              <w:rPr>
                <w:lang w:val="en-US"/>
              </w:rPr>
              <w:t>Air tickets for flights outside ASEAN region</w:t>
            </w:r>
          </w:p>
        </w:tc>
        <w:tc>
          <w:tcPr>
            <w:tcW w:w="3260" w:type="dxa"/>
            <w:tcBorders>
              <w:top w:val="single" w:sz="4" w:space="0" w:color="auto"/>
              <w:left w:val="single" w:sz="4" w:space="0" w:color="auto"/>
              <w:right w:val="single" w:sz="4" w:space="0" w:color="auto"/>
            </w:tcBorders>
            <w:vAlign w:val="bottom"/>
          </w:tcPr>
          <w:p w:rsidR="00481036" w:rsidRPr="002C27ED" w:rsidRDefault="00481036" w:rsidP="00735118">
            <w:pPr>
              <w:jc w:val="center"/>
              <w:rPr>
                <w:lang w:val="en-US"/>
              </w:rPr>
            </w:pPr>
            <w:r w:rsidRPr="002C27ED">
              <w:rPr>
                <w:lang w:val="en-US"/>
              </w:rPr>
              <w:t>40,00</w:t>
            </w:r>
          </w:p>
        </w:tc>
      </w:tr>
      <w:tr w:rsidR="00481036" w:rsidRPr="0050505D" w:rsidTr="00735118">
        <w:trPr>
          <w:trHeight w:val="391"/>
        </w:trPr>
        <w:tc>
          <w:tcPr>
            <w:tcW w:w="567" w:type="dxa"/>
            <w:tcBorders>
              <w:top w:val="single" w:sz="4" w:space="0" w:color="auto"/>
              <w:left w:val="single" w:sz="4" w:space="0" w:color="auto"/>
              <w:right w:val="single" w:sz="4" w:space="0" w:color="auto"/>
            </w:tcBorders>
          </w:tcPr>
          <w:p w:rsidR="00481036" w:rsidRPr="002E073D" w:rsidRDefault="00481036" w:rsidP="00735118">
            <w:pPr>
              <w:pStyle w:val="a5"/>
              <w:tabs>
                <w:tab w:val="left" w:pos="0"/>
              </w:tabs>
              <w:ind w:left="0"/>
              <w:jc w:val="center"/>
              <w:rPr>
                <w:rFonts w:ascii="Times New Roman" w:hAnsi="Times New Roman"/>
              </w:rPr>
            </w:pPr>
            <w:r w:rsidRPr="002E073D">
              <w:rPr>
                <w:rFonts w:ascii="Times New Roman" w:hAnsi="Times New Roman"/>
              </w:rPr>
              <w:t>3</w:t>
            </w:r>
          </w:p>
        </w:tc>
        <w:tc>
          <w:tcPr>
            <w:tcW w:w="5983" w:type="dxa"/>
            <w:tcBorders>
              <w:top w:val="single" w:sz="4" w:space="0" w:color="auto"/>
              <w:left w:val="single" w:sz="4" w:space="0" w:color="auto"/>
              <w:right w:val="single" w:sz="4" w:space="0" w:color="auto"/>
            </w:tcBorders>
          </w:tcPr>
          <w:p w:rsidR="00481036" w:rsidRPr="00CC4AA1" w:rsidRDefault="00481036" w:rsidP="00735118">
            <w:pPr>
              <w:rPr>
                <w:lang w:val="en-US"/>
              </w:rPr>
            </w:pPr>
            <w:r w:rsidRPr="00CC4AA1">
              <w:rPr>
                <w:lang w:val="en-US"/>
              </w:rPr>
              <w:t>Organization of transfers/taxi/road transport services</w:t>
            </w:r>
          </w:p>
        </w:tc>
        <w:tc>
          <w:tcPr>
            <w:tcW w:w="3260" w:type="dxa"/>
            <w:tcBorders>
              <w:top w:val="single" w:sz="4" w:space="0" w:color="auto"/>
              <w:left w:val="single" w:sz="4" w:space="0" w:color="auto"/>
              <w:right w:val="single" w:sz="4" w:space="0" w:color="auto"/>
            </w:tcBorders>
            <w:vAlign w:val="bottom"/>
          </w:tcPr>
          <w:p w:rsidR="00481036" w:rsidRPr="002C27ED" w:rsidRDefault="00481036" w:rsidP="00735118">
            <w:pPr>
              <w:jc w:val="center"/>
              <w:rPr>
                <w:lang w:val="en-US"/>
              </w:rPr>
            </w:pPr>
            <w:r w:rsidRPr="002C27ED">
              <w:rPr>
                <w:lang w:val="en-US"/>
              </w:rPr>
              <w:t>15,00</w:t>
            </w:r>
          </w:p>
        </w:tc>
      </w:tr>
      <w:tr w:rsidR="00481036" w:rsidRPr="0050505D" w:rsidTr="00735118">
        <w:trPr>
          <w:trHeight w:val="491"/>
        </w:trPr>
        <w:tc>
          <w:tcPr>
            <w:tcW w:w="567" w:type="dxa"/>
            <w:tcBorders>
              <w:left w:val="single" w:sz="4" w:space="0" w:color="auto"/>
              <w:right w:val="single" w:sz="4" w:space="0" w:color="auto"/>
            </w:tcBorders>
          </w:tcPr>
          <w:p w:rsidR="00481036" w:rsidRPr="002E073D" w:rsidRDefault="00481036" w:rsidP="00735118">
            <w:pPr>
              <w:pStyle w:val="a5"/>
              <w:tabs>
                <w:tab w:val="left" w:pos="0"/>
              </w:tabs>
              <w:ind w:left="0"/>
              <w:jc w:val="center"/>
              <w:rPr>
                <w:rFonts w:ascii="Times New Roman" w:hAnsi="Times New Roman"/>
              </w:rPr>
            </w:pPr>
            <w:r w:rsidRPr="002E073D">
              <w:rPr>
                <w:rFonts w:ascii="Times New Roman" w:hAnsi="Times New Roman"/>
              </w:rPr>
              <w:t>4</w:t>
            </w:r>
          </w:p>
        </w:tc>
        <w:tc>
          <w:tcPr>
            <w:tcW w:w="5983" w:type="dxa"/>
            <w:tcBorders>
              <w:left w:val="single" w:sz="4" w:space="0" w:color="auto"/>
              <w:right w:val="single" w:sz="4" w:space="0" w:color="auto"/>
            </w:tcBorders>
          </w:tcPr>
          <w:p w:rsidR="00481036" w:rsidRPr="00CC4AA1" w:rsidRDefault="00481036" w:rsidP="00735118">
            <w:pPr>
              <w:rPr>
                <w:lang w:val="en-US"/>
              </w:rPr>
            </w:pPr>
            <w:r w:rsidRPr="00CC4AA1">
              <w:rPr>
                <w:lang w:val="en-US"/>
              </w:rPr>
              <w:t>Booking of hotels inside ASEAN region</w:t>
            </w:r>
          </w:p>
        </w:tc>
        <w:tc>
          <w:tcPr>
            <w:tcW w:w="3260" w:type="dxa"/>
            <w:tcBorders>
              <w:left w:val="single" w:sz="4" w:space="0" w:color="auto"/>
              <w:right w:val="single" w:sz="4" w:space="0" w:color="auto"/>
            </w:tcBorders>
            <w:vAlign w:val="bottom"/>
          </w:tcPr>
          <w:p w:rsidR="00481036" w:rsidRPr="002C27ED" w:rsidRDefault="00481036" w:rsidP="00735118">
            <w:pPr>
              <w:jc w:val="center"/>
              <w:rPr>
                <w:lang w:val="en-US"/>
              </w:rPr>
            </w:pPr>
            <w:r w:rsidRPr="002C27ED">
              <w:rPr>
                <w:lang w:val="en-US"/>
              </w:rPr>
              <w:t>15,00</w:t>
            </w:r>
          </w:p>
        </w:tc>
      </w:tr>
      <w:tr w:rsidR="00481036" w:rsidRPr="0050505D" w:rsidTr="00735118">
        <w:trPr>
          <w:trHeight w:val="533"/>
        </w:trPr>
        <w:tc>
          <w:tcPr>
            <w:tcW w:w="567" w:type="dxa"/>
            <w:tcBorders>
              <w:left w:val="single" w:sz="4" w:space="0" w:color="auto"/>
              <w:right w:val="single" w:sz="4" w:space="0" w:color="auto"/>
            </w:tcBorders>
          </w:tcPr>
          <w:p w:rsidR="00481036" w:rsidRPr="002E073D" w:rsidRDefault="00481036" w:rsidP="00735118">
            <w:pPr>
              <w:pStyle w:val="a5"/>
              <w:tabs>
                <w:tab w:val="left" w:pos="0"/>
              </w:tabs>
              <w:ind w:left="0"/>
              <w:jc w:val="center"/>
              <w:rPr>
                <w:rFonts w:ascii="Times New Roman" w:hAnsi="Times New Roman"/>
              </w:rPr>
            </w:pPr>
            <w:r w:rsidRPr="002E073D">
              <w:rPr>
                <w:rFonts w:ascii="Times New Roman" w:hAnsi="Times New Roman"/>
              </w:rPr>
              <w:t>5</w:t>
            </w:r>
          </w:p>
        </w:tc>
        <w:tc>
          <w:tcPr>
            <w:tcW w:w="5983" w:type="dxa"/>
            <w:tcBorders>
              <w:left w:val="single" w:sz="4" w:space="0" w:color="auto"/>
              <w:right w:val="single" w:sz="4" w:space="0" w:color="auto"/>
            </w:tcBorders>
          </w:tcPr>
          <w:p w:rsidR="00481036" w:rsidRPr="00CC4AA1" w:rsidRDefault="00481036" w:rsidP="00735118">
            <w:pPr>
              <w:rPr>
                <w:lang w:val="en-US"/>
              </w:rPr>
            </w:pPr>
            <w:r w:rsidRPr="00CC4AA1">
              <w:rPr>
                <w:lang w:val="en-US"/>
              </w:rPr>
              <w:t>Booking of hotels outside ASEAN region</w:t>
            </w:r>
          </w:p>
        </w:tc>
        <w:tc>
          <w:tcPr>
            <w:tcW w:w="3260" w:type="dxa"/>
            <w:tcBorders>
              <w:left w:val="single" w:sz="4" w:space="0" w:color="auto"/>
              <w:right w:val="single" w:sz="4" w:space="0" w:color="auto"/>
            </w:tcBorders>
            <w:vAlign w:val="bottom"/>
          </w:tcPr>
          <w:p w:rsidR="00481036" w:rsidRPr="002C27ED" w:rsidRDefault="00481036" w:rsidP="00735118">
            <w:pPr>
              <w:jc w:val="center"/>
              <w:rPr>
                <w:lang w:val="en-US"/>
              </w:rPr>
            </w:pPr>
            <w:r w:rsidRPr="002C27ED">
              <w:rPr>
                <w:lang w:val="en-US"/>
              </w:rPr>
              <w:t>15,00</w:t>
            </w:r>
          </w:p>
        </w:tc>
      </w:tr>
      <w:tr w:rsidR="00481036" w:rsidRPr="0050505D" w:rsidTr="00735118">
        <w:trPr>
          <w:trHeight w:val="491"/>
        </w:trPr>
        <w:tc>
          <w:tcPr>
            <w:tcW w:w="567" w:type="dxa"/>
            <w:tcBorders>
              <w:left w:val="single" w:sz="4" w:space="0" w:color="auto"/>
              <w:right w:val="single" w:sz="4" w:space="0" w:color="auto"/>
            </w:tcBorders>
          </w:tcPr>
          <w:p w:rsidR="00481036" w:rsidRPr="002E073D" w:rsidRDefault="00481036" w:rsidP="00735118">
            <w:pPr>
              <w:pStyle w:val="a5"/>
              <w:tabs>
                <w:tab w:val="left" w:pos="0"/>
              </w:tabs>
              <w:ind w:left="0"/>
              <w:jc w:val="center"/>
              <w:rPr>
                <w:rFonts w:ascii="Times New Roman" w:hAnsi="Times New Roman"/>
              </w:rPr>
            </w:pPr>
            <w:r w:rsidRPr="002E073D">
              <w:rPr>
                <w:rFonts w:ascii="Times New Roman" w:hAnsi="Times New Roman"/>
              </w:rPr>
              <w:t>6</w:t>
            </w:r>
          </w:p>
        </w:tc>
        <w:tc>
          <w:tcPr>
            <w:tcW w:w="5983" w:type="dxa"/>
            <w:tcBorders>
              <w:left w:val="single" w:sz="4" w:space="0" w:color="auto"/>
              <w:right w:val="single" w:sz="4" w:space="0" w:color="auto"/>
            </w:tcBorders>
          </w:tcPr>
          <w:p w:rsidR="00481036" w:rsidRPr="00CC4AA1" w:rsidRDefault="00481036" w:rsidP="00735118">
            <w:pPr>
              <w:rPr>
                <w:lang w:val="en-US"/>
              </w:rPr>
            </w:pPr>
            <w:r w:rsidRPr="00CC4AA1">
              <w:rPr>
                <w:lang w:val="en-US"/>
              </w:rPr>
              <w:t>Support in visa application Worldwide</w:t>
            </w:r>
          </w:p>
        </w:tc>
        <w:tc>
          <w:tcPr>
            <w:tcW w:w="3260" w:type="dxa"/>
            <w:tcBorders>
              <w:left w:val="single" w:sz="4" w:space="0" w:color="auto"/>
              <w:right w:val="single" w:sz="4" w:space="0" w:color="auto"/>
            </w:tcBorders>
            <w:vAlign w:val="bottom"/>
          </w:tcPr>
          <w:p w:rsidR="00481036" w:rsidRPr="002C27ED" w:rsidRDefault="00481036" w:rsidP="00735118">
            <w:pPr>
              <w:jc w:val="center"/>
              <w:rPr>
                <w:lang w:val="en-US"/>
              </w:rPr>
            </w:pPr>
            <w:r w:rsidRPr="002C27ED">
              <w:rPr>
                <w:lang w:val="en-US"/>
              </w:rPr>
              <w:t>30,00</w:t>
            </w:r>
          </w:p>
        </w:tc>
      </w:tr>
      <w:tr w:rsidR="00481036" w:rsidRPr="0050505D" w:rsidTr="00735118">
        <w:trPr>
          <w:trHeight w:val="491"/>
        </w:trPr>
        <w:tc>
          <w:tcPr>
            <w:tcW w:w="567" w:type="dxa"/>
            <w:tcBorders>
              <w:left w:val="single" w:sz="4" w:space="0" w:color="auto"/>
              <w:right w:val="single" w:sz="4" w:space="0" w:color="auto"/>
            </w:tcBorders>
          </w:tcPr>
          <w:p w:rsidR="00481036" w:rsidRPr="002E073D" w:rsidRDefault="00481036" w:rsidP="00735118">
            <w:pPr>
              <w:pStyle w:val="a5"/>
              <w:tabs>
                <w:tab w:val="left" w:pos="0"/>
              </w:tabs>
              <w:ind w:left="0"/>
              <w:jc w:val="center"/>
              <w:rPr>
                <w:rFonts w:ascii="Times New Roman" w:hAnsi="Times New Roman"/>
              </w:rPr>
            </w:pPr>
            <w:r w:rsidRPr="002E073D">
              <w:rPr>
                <w:rFonts w:ascii="Times New Roman" w:hAnsi="Times New Roman"/>
              </w:rPr>
              <w:t>7</w:t>
            </w:r>
          </w:p>
        </w:tc>
        <w:tc>
          <w:tcPr>
            <w:tcW w:w="5983" w:type="dxa"/>
            <w:tcBorders>
              <w:left w:val="single" w:sz="4" w:space="0" w:color="auto"/>
              <w:right w:val="single" w:sz="4" w:space="0" w:color="auto"/>
            </w:tcBorders>
          </w:tcPr>
          <w:p w:rsidR="00481036" w:rsidRPr="00CC4AA1" w:rsidRDefault="00481036" w:rsidP="00735118">
            <w:pPr>
              <w:rPr>
                <w:lang w:val="en-US"/>
              </w:rPr>
            </w:pPr>
            <w:r w:rsidRPr="00CC4AA1">
              <w:rPr>
                <w:lang w:val="en-US"/>
              </w:rPr>
              <w:t>Reissue or rerouting of tickets</w:t>
            </w:r>
          </w:p>
        </w:tc>
        <w:tc>
          <w:tcPr>
            <w:tcW w:w="3260" w:type="dxa"/>
            <w:tcBorders>
              <w:left w:val="single" w:sz="4" w:space="0" w:color="auto"/>
              <w:right w:val="single" w:sz="4" w:space="0" w:color="auto"/>
            </w:tcBorders>
            <w:vAlign w:val="bottom"/>
          </w:tcPr>
          <w:p w:rsidR="00481036" w:rsidRPr="002C27ED" w:rsidRDefault="00481036" w:rsidP="00735118">
            <w:pPr>
              <w:jc w:val="center"/>
              <w:rPr>
                <w:lang w:val="en-US"/>
              </w:rPr>
            </w:pPr>
            <w:r w:rsidRPr="002C27ED">
              <w:rPr>
                <w:lang w:val="en-US"/>
              </w:rPr>
              <w:t>52,33</w:t>
            </w:r>
          </w:p>
        </w:tc>
      </w:tr>
      <w:tr w:rsidR="00481036" w:rsidRPr="0050505D" w:rsidTr="00735118">
        <w:trPr>
          <w:trHeight w:val="491"/>
        </w:trPr>
        <w:tc>
          <w:tcPr>
            <w:tcW w:w="567" w:type="dxa"/>
            <w:tcBorders>
              <w:left w:val="single" w:sz="4" w:space="0" w:color="auto"/>
              <w:right w:val="single" w:sz="4" w:space="0" w:color="auto"/>
            </w:tcBorders>
          </w:tcPr>
          <w:p w:rsidR="00481036" w:rsidRPr="002E073D" w:rsidRDefault="00481036" w:rsidP="00735118">
            <w:pPr>
              <w:pStyle w:val="a5"/>
              <w:tabs>
                <w:tab w:val="left" w:pos="0"/>
              </w:tabs>
              <w:ind w:left="0"/>
              <w:jc w:val="center"/>
              <w:rPr>
                <w:rFonts w:ascii="Times New Roman" w:hAnsi="Times New Roman"/>
                <w:lang w:val="en-US"/>
              </w:rPr>
            </w:pPr>
            <w:r w:rsidRPr="002E073D">
              <w:rPr>
                <w:rFonts w:ascii="Times New Roman" w:hAnsi="Times New Roman"/>
                <w:lang w:val="en-US"/>
              </w:rPr>
              <w:t>8</w:t>
            </w:r>
          </w:p>
        </w:tc>
        <w:tc>
          <w:tcPr>
            <w:tcW w:w="5983" w:type="dxa"/>
            <w:tcBorders>
              <w:left w:val="single" w:sz="4" w:space="0" w:color="auto"/>
              <w:right w:val="single" w:sz="4" w:space="0" w:color="auto"/>
            </w:tcBorders>
          </w:tcPr>
          <w:p w:rsidR="00481036" w:rsidRPr="00CC4AA1" w:rsidRDefault="00481036" w:rsidP="00735118">
            <w:pPr>
              <w:rPr>
                <w:lang w:val="en-US"/>
              </w:rPr>
            </w:pPr>
            <w:r w:rsidRPr="00CC4AA1">
              <w:rPr>
                <w:lang w:val="en-US"/>
              </w:rPr>
              <w:t>Update re covid restrictions related travel arrangements</w:t>
            </w:r>
          </w:p>
        </w:tc>
        <w:tc>
          <w:tcPr>
            <w:tcW w:w="3260" w:type="dxa"/>
            <w:tcBorders>
              <w:left w:val="single" w:sz="4" w:space="0" w:color="auto"/>
              <w:right w:val="single" w:sz="4" w:space="0" w:color="auto"/>
            </w:tcBorders>
            <w:vAlign w:val="bottom"/>
          </w:tcPr>
          <w:p w:rsidR="00481036" w:rsidRPr="002C27ED" w:rsidRDefault="00481036" w:rsidP="00735118">
            <w:pPr>
              <w:jc w:val="center"/>
              <w:rPr>
                <w:lang w:val="en-US"/>
              </w:rPr>
            </w:pPr>
            <w:r w:rsidRPr="002C27ED">
              <w:rPr>
                <w:lang w:val="en-US"/>
              </w:rPr>
              <w:t>0,00</w:t>
            </w:r>
          </w:p>
        </w:tc>
      </w:tr>
    </w:tbl>
    <w:p w:rsidR="00481036" w:rsidRDefault="00481036" w:rsidP="00481036">
      <w:pPr>
        <w:pStyle w:val="a5"/>
        <w:tabs>
          <w:tab w:val="left" w:pos="0"/>
          <w:tab w:val="left" w:pos="1134"/>
        </w:tabs>
        <w:spacing w:after="0" w:line="240" w:lineRule="auto"/>
        <w:ind w:left="709"/>
        <w:jc w:val="both"/>
        <w:rPr>
          <w:rFonts w:ascii="Times New Roman" w:hAnsi="Times New Roman"/>
          <w:bCs/>
          <w:sz w:val="28"/>
          <w:szCs w:val="28"/>
          <w:lang w:val="en-US"/>
        </w:rPr>
      </w:pPr>
    </w:p>
    <w:p w:rsidR="00481036" w:rsidRDefault="00481036" w:rsidP="00481036">
      <w:pPr>
        <w:pStyle w:val="a5"/>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ultimate contract price:</w:t>
      </w:r>
    </w:p>
    <w:p w:rsidR="00481036" w:rsidRDefault="00481036" w:rsidP="00481036">
      <w:pPr>
        <w:tabs>
          <w:tab w:val="left" w:pos="1134"/>
        </w:tabs>
        <w:ind w:firstLine="709"/>
        <w:contextualSpacing/>
        <w:jc w:val="both"/>
        <w:rPr>
          <w:sz w:val="28"/>
          <w:szCs w:val="28"/>
          <w:lang w:val="en-US"/>
        </w:rPr>
      </w:pPr>
      <w:r>
        <w:rPr>
          <w:sz w:val="28"/>
          <w:szCs w:val="28"/>
          <w:lang w:val="en-US"/>
        </w:rPr>
        <w:t>14</w:t>
      </w:r>
      <w:r w:rsidRPr="00933FA0">
        <w:rPr>
          <w:sz w:val="28"/>
          <w:szCs w:val="28"/>
          <w:lang w:val="en-US"/>
        </w:rPr>
        <w:t xml:space="preserve">0 000,00 </w:t>
      </w:r>
      <w:r>
        <w:rPr>
          <w:sz w:val="28"/>
          <w:szCs w:val="28"/>
          <w:lang w:val="en-US"/>
        </w:rPr>
        <w:t xml:space="preserve">SGD including VAT </w:t>
      </w:r>
      <w:r>
        <w:rPr>
          <w:rFonts w:eastAsia="Calibri"/>
          <w:sz w:val="28"/>
          <w:szCs w:val="28"/>
          <w:lang w:val="en-US"/>
        </w:rPr>
        <w:t>and all applicable taxes</w:t>
      </w:r>
      <w:r>
        <w:rPr>
          <w:sz w:val="28"/>
          <w:szCs w:val="28"/>
          <w:lang w:val="en-US"/>
        </w:rPr>
        <w:t xml:space="preserve">. </w:t>
      </w:r>
    </w:p>
    <w:p w:rsidR="00481036" w:rsidRDefault="00481036" w:rsidP="00481036">
      <w:pPr>
        <w:tabs>
          <w:tab w:val="left" w:pos="1134"/>
        </w:tabs>
        <w:ind w:firstLine="709"/>
        <w:contextualSpacing/>
        <w:jc w:val="both"/>
        <w:rPr>
          <w:sz w:val="28"/>
          <w:szCs w:val="28"/>
          <w:lang w:val="en-US"/>
        </w:rPr>
      </w:pPr>
    </w:p>
    <w:p w:rsidR="00481036" w:rsidRDefault="00481036" w:rsidP="00481036">
      <w:pPr>
        <w:tabs>
          <w:tab w:val="left" w:pos="1134"/>
        </w:tabs>
        <w:ind w:firstLine="709"/>
        <w:contextualSpacing/>
        <w:jc w:val="both"/>
        <w:rPr>
          <w:b/>
          <w:i/>
          <w:lang w:val="en-US"/>
        </w:rPr>
      </w:pPr>
      <w:r>
        <w:rPr>
          <w:sz w:val="28"/>
          <w:szCs w:val="28"/>
          <w:lang w:val="en-US"/>
        </w:rPr>
        <w:t xml:space="preserve">The bidder's proposal of contract price, </w:t>
      </w:r>
      <w:r>
        <w:rPr>
          <w:rFonts w:eastAsia="Calibri"/>
          <w:sz w:val="28"/>
          <w:szCs w:val="28"/>
          <w:lang w:val="en-US" w:eastAsia="en-US"/>
        </w:rPr>
        <w:t>unit prices</w:t>
      </w:r>
      <w:r>
        <w:rPr>
          <w:sz w:val="28"/>
          <w:szCs w:val="28"/>
          <w:lang w:val="en-US"/>
        </w:rPr>
        <w:t xml:space="preserve">, must not exceed the initial (maximum) contract price, </w:t>
      </w:r>
      <w:r>
        <w:rPr>
          <w:rFonts w:eastAsia="Calibri"/>
          <w:sz w:val="28"/>
          <w:szCs w:val="28"/>
          <w:lang w:val="en-US" w:eastAsia="en-US"/>
        </w:rPr>
        <w:t>unit prices</w:t>
      </w:r>
      <w:r>
        <w:rPr>
          <w:sz w:val="28"/>
          <w:szCs w:val="28"/>
          <w:lang w:val="en-US"/>
        </w:rPr>
        <w:t xml:space="preserve">. </w:t>
      </w:r>
    </w:p>
    <w:p w:rsidR="00481036" w:rsidRDefault="00481036" w:rsidP="00481036">
      <w:pPr>
        <w:tabs>
          <w:tab w:val="left" w:pos="1134"/>
        </w:tabs>
        <w:ind w:firstLine="709"/>
        <w:contextualSpacing/>
        <w:jc w:val="both"/>
        <w:rPr>
          <w:sz w:val="28"/>
          <w:lang w:val="en-US"/>
        </w:rPr>
      </w:pPr>
    </w:p>
    <w:p w:rsidR="00481036" w:rsidRDefault="00481036" w:rsidP="00481036">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481036" w:rsidRPr="00253B12" w:rsidRDefault="00481036" w:rsidP="00481036">
      <w:pPr>
        <w:tabs>
          <w:tab w:val="left" w:pos="1134"/>
        </w:tabs>
        <w:ind w:firstLine="709"/>
        <w:contextualSpacing/>
        <w:jc w:val="both"/>
        <w:rPr>
          <w:bCs/>
          <w:iCs/>
          <w:sz w:val="28"/>
          <w:szCs w:val="28"/>
          <w:lang w:val="en-US"/>
        </w:rPr>
      </w:pPr>
      <w:r w:rsidRPr="00EC5BD6">
        <w:rPr>
          <w:bCs/>
          <w:iCs/>
          <w:sz w:val="28"/>
          <w:szCs w:val="28"/>
          <w:lang w:val="en-US"/>
        </w:rPr>
        <w:lastRenderedPageBreak/>
        <w:t xml:space="preserve">Justification </w:t>
      </w:r>
      <w:r>
        <w:rPr>
          <w:bCs/>
          <w:sz w:val="28"/>
          <w:szCs w:val="28"/>
          <w:lang w:val="en-US"/>
        </w:rPr>
        <w:t xml:space="preserve">of the </w:t>
      </w:r>
      <w:r>
        <w:rPr>
          <w:sz w:val="28"/>
          <w:szCs w:val="28"/>
          <w:lang w:val="en-US"/>
        </w:rPr>
        <w:t xml:space="preserve">initial (maximum) unit </w:t>
      </w:r>
      <w:r w:rsidRPr="00A203FE">
        <w:rPr>
          <w:sz w:val="28"/>
          <w:szCs w:val="28"/>
          <w:lang w:val="en-US"/>
        </w:rPr>
        <w:t>price</w:t>
      </w:r>
      <w:r>
        <w:rPr>
          <w:sz w:val="28"/>
          <w:szCs w:val="28"/>
          <w:lang w:val="en-US"/>
        </w:rPr>
        <w:t>s</w:t>
      </w:r>
      <w:r w:rsidRPr="00EC5BD6">
        <w:rPr>
          <w:bCs/>
          <w:iCs/>
          <w:sz w:val="28"/>
          <w:szCs w:val="28"/>
          <w:lang w:val="en-US"/>
        </w:rPr>
        <w:t xml:space="preserve"> </w:t>
      </w:r>
      <w:r>
        <w:rPr>
          <w:bCs/>
          <w:iCs/>
          <w:sz w:val="28"/>
          <w:szCs w:val="28"/>
          <w:lang w:val="en-US"/>
        </w:rPr>
        <w:t>are</w:t>
      </w:r>
      <w:r w:rsidRPr="00EC5BD6">
        <w:rPr>
          <w:bCs/>
          <w:iCs/>
          <w:sz w:val="28"/>
          <w:szCs w:val="28"/>
          <w:lang w:val="en-US"/>
        </w:rPr>
        <w:t xml:space="preserve">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481036" w:rsidRDefault="00481036" w:rsidP="00481036">
      <w:pPr>
        <w:tabs>
          <w:tab w:val="left" w:pos="1134"/>
        </w:tabs>
        <w:ind w:firstLine="709"/>
        <w:contextualSpacing/>
        <w:jc w:val="both"/>
        <w:rPr>
          <w:sz w:val="28"/>
          <w:lang w:val="en-US"/>
        </w:rPr>
      </w:pPr>
    </w:p>
    <w:p w:rsidR="00481036" w:rsidRDefault="00481036" w:rsidP="00481036">
      <w:pPr>
        <w:tabs>
          <w:tab w:val="left" w:pos="1134"/>
        </w:tabs>
        <w:ind w:firstLine="709"/>
        <w:contextualSpacing/>
        <w:jc w:val="both"/>
        <w:rPr>
          <w:b/>
          <w:i/>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481036" w:rsidRDefault="00481036" w:rsidP="00481036">
      <w:pPr>
        <w:tabs>
          <w:tab w:val="left" w:pos="1134"/>
        </w:tabs>
        <w:ind w:firstLine="709"/>
        <w:contextualSpacing/>
        <w:jc w:val="both"/>
        <w:rPr>
          <w:rFonts w:eastAsia="Calibri"/>
          <w:bCs/>
          <w:sz w:val="28"/>
          <w:szCs w:val="28"/>
          <w:lang w:val="en-US" w:eastAsia="en-US"/>
        </w:rPr>
      </w:pPr>
      <w:bookmarkStart w:id="7"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7"/>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481036" w:rsidRDefault="00481036" w:rsidP="00481036">
      <w:pPr>
        <w:tabs>
          <w:tab w:val="left" w:pos="1134"/>
        </w:tabs>
        <w:ind w:firstLine="709"/>
        <w:contextualSpacing/>
        <w:jc w:val="both"/>
        <w:rPr>
          <w:b/>
          <w:i/>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Procurement </w:t>
      </w:r>
      <w:r w:rsidRPr="003703DB">
        <w:rPr>
          <w:rFonts w:ascii="Times New Roman" w:hAnsi="Times New Roman"/>
          <w:sz w:val="28"/>
          <w:szCs w:val="28"/>
          <w:lang w:val="en-US"/>
        </w:rPr>
        <w:t xml:space="preserve">currency: </w:t>
      </w:r>
      <w:r>
        <w:rPr>
          <w:rFonts w:ascii="Times New Roman" w:hAnsi="Times New Roman"/>
          <w:sz w:val="28"/>
          <w:szCs w:val="28"/>
          <w:lang w:val="en-US"/>
        </w:rPr>
        <w:t>Singapore Dollar.</w:t>
      </w:r>
    </w:p>
    <w:p w:rsidR="00481036" w:rsidRDefault="00481036" w:rsidP="00481036">
      <w:pPr>
        <w:tabs>
          <w:tab w:val="left" w:pos="1134"/>
        </w:tabs>
        <w:ind w:firstLine="709"/>
        <w:contextualSpacing/>
        <w:jc w:val="both"/>
        <w:rPr>
          <w:b/>
          <w:i/>
          <w:lang w:val="en-US"/>
        </w:rPr>
      </w:pPr>
    </w:p>
    <w:p w:rsidR="00481036" w:rsidRPr="0011375F"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sidRPr="0011375F">
        <w:rPr>
          <w:rFonts w:ascii="Times New Roman" w:hAnsi="Times New Roman"/>
          <w:sz w:val="28"/>
          <w:szCs w:val="28"/>
          <w:lang w:val="en-US"/>
        </w:rPr>
        <w:t xml:space="preserve">Procurement bid security: </w:t>
      </w:r>
    </w:p>
    <w:p w:rsidR="00481036" w:rsidRPr="0011375F" w:rsidRDefault="00481036" w:rsidP="00481036">
      <w:pPr>
        <w:pStyle w:val="a5"/>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Pr="0011375F">
        <w:fldChar w:fldCharType="begin"/>
      </w:r>
      <w:r w:rsidRPr="0011375F">
        <w:rPr>
          <w:lang w:val="en-US"/>
        </w:rPr>
        <w:instrText xml:space="preserve"> REF _Ref442945539 \r \h  \* MERGEFORMAT </w:instrText>
      </w:r>
      <w:r w:rsidRPr="0011375F">
        <w:fldChar w:fldCharType="separate"/>
      </w:r>
      <w:r w:rsidRPr="0011375F">
        <w:rPr>
          <w:rFonts w:ascii="Times New Roman" w:hAnsi="Times New Roman"/>
          <w:spacing w:val="-6"/>
          <w:sz w:val="28"/>
          <w:szCs w:val="28"/>
          <w:lang w:val="en-US"/>
        </w:rPr>
        <w:t>2.1.3</w:t>
      </w:r>
      <w:r w:rsidRPr="0011375F">
        <w:fldChar w:fldCharType="end"/>
      </w:r>
      <w:r w:rsidRPr="0011375F">
        <w:rPr>
          <w:rFonts w:ascii="Times New Roman" w:hAnsi="Times New Roman"/>
          <w:spacing w:val="-6"/>
          <w:sz w:val="28"/>
          <w:szCs w:val="28"/>
          <w:lang w:val="en-US"/>
        </w:rPr>
        <w:t xml:space="preserve"> of section </w:t>
      </w:r>
      <w:r w:rsidRPr="0011375F">
        <w:fldChar w:fldCharType="begin"/>
      </w:r>
      <w:r w:rsidRPr="0011375F">
        <w:rPr>
          <w:lang w:val="en-US"/>
        </w:rPr>
        <w:instrText xml:space="preserve"> REF _Ref442945566 \r \h  \* MERGEFORMAT </w:instrText>
      </w:r>
      <w:r w:rsidRPr="0011375F">
        <w:fldChar w:fldCharType="separate"/>
      </w:r>
      <w:r w:rsidRPr="0011375F">
        <w:rPr>
          <w:lang w:val="en-US"/>
        </w:rPr>
        <w:t>2</w:t>
      </w:r>
      <w:r w:rsidRPr="0011375F">
        <w:fldChar w:fldCharType="end"/>
      </w:r>
      <w:r w:rsidRPr="0011375F">
        <w:rPr>
          <w:rFonts w:ascii="Times New Roman" w:hAnsi="Times New Roman"/>
          <w:spacing w:val="-6"/>
          <w:sz w:val="28"/>
          <w:szCs w:val="28"/>
          <w:lang w:val="en-US"/>
        </w:rPr>
        <w:t xml:space="preserve"> of Part 1, Volume 1 of the procurement documentation;</w:t>
      </w:r>
    </w:p>
    <w:p w:rsidR="00481036" w:rsidRPr="0011375F" w:rsidRDefault="00481036" w:rsidP="00481036">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for guarantors which are banks - requirements applied to banks;</w:t>
      </w:r>
    </w:p>
    <w:p w:rsidR="00481036" w:rsidRPr="0011375F" w:rsidRDefault="00481036" w:rsidP="00481036">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11375F">
        <w:rPr>
          <w:rFonts w:ascii="Times New Roman" w:hAnsi="Times New Roman"/>
          <w:b/>
          <w:i/>
          <w:sz w:val="24"/>
          <w:szCs w:val="24"/>
          <w:lang w:val="en-US"/>
        </w:rPr>
        <w:t>(similar requirements apply to surety)</w:t>
      </w:r>
      <w:r w:rsidRPr="0011375F">
        <w:rPr>
          <w:rFonts w:ascii="Times New Roman" w:hAnsi="Times New Roman"/>
          <w:spacing w:val="-6"/>
          <w:sz w:val="28"/>
          <w:szCs w:val="28"/>
          <w:lang w:val="en-US"/>
        </w:rPr>
        <w:t>;</w:t>
      </w:r>
    </w:p>
    <w:p w:rsidR="00481036" w:rsidRPr="0011375F" w:rsidRDefault="00481036" w:rsidP="00481036">
      <w:pPr>
        <w:pStyle w:val="a5"/>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7</w:t>
      </w:r>
      <w:r w:rsidRPr="0011375F">
        <w:rPr>
          <w:rFonts w:ascii="Times New Roman" w:hAnsi="Times New Roman"/>
          <w:spacing w:val="-6"/>
          <w:sz w:val="28"/>
          <w:szCs w:val="28"/>
          <w:lang w:val="en-US"/>
        </w:rPr>
        <w:t xml:space="preserve">00,00 </w:t>
      </w:r>
      <w:r>
        <w:rPr>
          <w:rFonts w:ascii="Times New Roman" w:hAnsi="Times New Roman"/>
          <w:sz w:val="28"/>
          <w:szCs w:val="28"/>
          <w:lang w:val="en-US"/>
        </w:rPr>
        <w:t>SGD</w:t>
      </w:r>
      <w:r w:rsidRPr="0011375F">
        <w:rPr>
          <w:rFonts w:ascii="Times New Roman" w:hAnsi="Times New Roman"/>
          <w:spacing w:val="-6"/>
          <w:sz w:val="28"/>
          <w:szCs w:val="28"/>
          <w:lang w:val="en-US"/>
        </w:rPr>
        <w:t xml:space="preserve"> not subject to VAT </w:t>
      </w:r>
      <w:r w:rsidRPr="0011375F">
        <w:rPr>
          <w:rFonts w:ascii="Times New Roman" w:hAnsi="Times New Roman"/>
          <w:i/>
          <w:spacing w:val="-6"/>
          <w:sz w:val="28"/>
          <w:szCs w:val="28"/>
          <w:lang w:val="en-US"/>
        </w:rPr>
        <w:t>(participants bear all expenses on currency conversion and bank charges applied by banks or correspondent banks during transaction)</w:t>
      </w:r>
    </w:p>
    <w:p w:rsidR="00481036" w:rsidRPr="0011375F" w:rsidRDefault="00481036" w:rsidP="00481036">
      <w:pPr>
        <w:pStyle w:val="a5"/>
        <w:numPr>
          <w:ilvl w:val="0"/>
          <w:numId w:val="5"/>
        </w:numPr>
        <w:tabs>
          <w:tab w:val="left" w:pos="1134"/>
        </w:tabs>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SGD</w:t>
      </w:r>
      <w:r w:rsidRPr="0011375F">
        <w:rPr>
          <w:rFonts w:ascii="Times New Roman" w:hAnsi="Times New Roman"/>
          <w:sz w:val="28"/>
          <w:szCs w:val="28"/>
          <w:lang w:val="en-US"/>
        </w:rPr>
        <w:t>.</w:t>
      </w:r>
    </w:p>
    <w:p w:rsidR="00481036" w:rsidRPr="0011375F" w:rsidRDefault="00481036" w:rsidP="00481036">
      <w:pPr>
        <w:tabs>
          <w:tab w:val="left" w:pos="1134"/>
        </w:tabs>
        <w:ind w:firstLine="709"/>
        <w:contextualSpacing/>
        <w:jc w:val="both"/>
        <w:rPr>
          <w:spacing w:val="-6"/>
          <w:sz w:val="28"/>
          <w:szCs w:val="28"/>
          <w:lang w:val="en-US"/>
        </w:rPr>
      </w:pPr>
      <w:r w:rsidRPr="0011375F">
        <w:rPr>
          <w:spacing w:val="-6"/>
          <w:sz w:val="28"/>
          <w:szCs w:val="28"/>
          <w:lang w:val="en-US"/>
        </w:rPr>
        <w:t>Beneficiary: Rosatom South</w:t>
      </w:r>
      <w:r>
        <w:rPr>
          <w:spacing w:val="-6"/>
          <w:sz w:val="28"/>
          <w:szCs w:val="28"/>
          <w:lang w:val="en-US"/>
        </w:rPr>
        <w:t xml:space="preserve"> East</w:t>
      </w:r>
      <w:r w:rsidRPr="0011375F">
        <w:rPr>
          <w:spacing w:val="-6"/>
          <w:sz w:val="28"/>
          <w:szCs w:val="28"/>
          <w:lang w:val="en-US"/>
        </w:rPr>
        <w:t xml:space="preserve"> Asia </w:t>
      </w:r>
      <w:r>
        <w:rPr>
          <w:spacing w:val="-6"/>
          <w:sz w:val="28"/>
          <w:szCs w:val="28"/>
          <w:lang w:val="en-US"/>
        </w:rPr>
        <w:t>Pte Ltd.</w:t>
      </w:r>
    </w:p>
    <w:p w:rsidR="00481036" w:rsidRPr="006903BE" w:rsidRDefault="00481036" w:rsidP="00481036">
      <w:pPr>
        <w:jc w:val="both"/>
        <w:rPr>
          <w:spacing w:val="-6"/>
          <w:sz w:val="28"/>
          <w:szCs w:val="28"/>
          <w:lang w:val="en-US"/>
        </w:rPr>
      </w:pPr>
      <w:r>
        <w:rPr>
          <w:spacing w:val="-6"/>
          <w:sz w:val="28"/>
          <w:szCs w:val="28"/>
          <w:lang w:val="en-US"/>
        </w:rPr>
        <w:t xml:space="preserve">           </w:t>
      </w:r>
      <w:r w:rsidRPr="006903BE">
        <w:rPr>
          <w:spacing w:val="-6"/>
          <w:sz w:val="28"/>
          <w:szCs w:val="28"/>
          <w:lang w:val="en-US"/>
        </w:rPr>
        <w:t>Registered office: 20 Collyer Quay, office 09-05</w:t>
      </w:r>
      <w:r>
        <w:rPr>
          <w:spacing w:val="-6"/>
          <w:sz w:val="28"/>
          <w:szCs w:val="28"/>
          <w:lang w:val="en-US"/>
        </w:rPr>
        <w:t xml:space="preserve">, </w:t>
      </w:r>
      <w:r w:rsidRPr="006903BE">
        <w:rPr>
          <w:spacing w:val="-6"/>
          <w:sz w:val="28"/>
          <w:szCs w:val="28"/>
          <w:lang w:val="en-US"/>
        </w:rPr>
        <w:t>Singapore 049319</w:t>
      </w:r>
    </w:p>
    <w:p w:rsidR="00481036" w:rsidRPr="00AB0196" w:rsidRDefault="00481036" w:rsidP="00481036">
      <w:pPr>
        <w:tabs>
          <w:tab w:val="left" w:pos="1134"/>
        </w:tabs>
        <w:ind w:firstLine="709"/>
        <w:contextualSpacing/>
        <w:jc w:val="both"/>
        <w:rPr>
          <w:spacing w:val="-6"/>
          <w:sz w:val="28"/>
          <w:szCs w:val="28"/>
          <w:lang w:val="en-US"/>
        </w:rPr>
      </w:pPr>
      <w:r w:rsidRPr="00AB0196">
        <w:rPr>
          <w:spacing w:val="-6"/>
          <w:sz w:val="28"/>
          <w:szCs w:val="28"/>
          <w:lang w:val="en-US"/>
        </w:rPr>
        <w:t>Registration number:  201411806N</w:t>
      </w:r>
    </w:p>
    <w:tbl>
      <w:tblPr>
        <w:tblW w:w="9168" w:type="dxa"/>
        <w:tblInd w:w="567" w:type="dxa"/>
        <w:tblLook w:val="04A0" w:firstRow="1" w:lastRow="0" w:firstColumn="1" w:lastColumn="0" w:noHBand="0" w:noVBand="1"/>
      </w:tblPr>
      <w:tblGrid>
        <w:gridCol w:w="142"/>
        <w:gridCol w:w="8884"/>
        <w:gridCol w:w="142"/>
      </w:tblGrid>
      <w:tr w:rsidR="00481036" w:rsidRPr="00673020" w:rsidTr="00735118">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rsidR="00481036" w:rsidRPr="00AB0196" w:rsidRDefault="00481036" w:rsidP="00735118">
            <w:pPr>
              <w:outlineLvl w:val="0"/>
              <w:rPr>
                <w:sz w:val="28"/>
                <w:szCs w:val="28"/>
                <w:lang w:val="en-SG"/>
              </w:rPr>
            </w:pPr>
            <w:r w:rsidRPr="00AB0196">
              <w:rPr>
                <w:sz w:val="28"/>
                <w:szCs w:val="28"/>
                <w:lang w:val="en-SG"/>
              </w:rPr>
              <w:t>Bank: DBS Bank Ltd, Singapore</w:t>
            </w:r>
          </w:p>
        </w:tc>
      </w:tr>
      <w:tr w:rsidR="00481036" w:rsidTr="00735118">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rsidR="00481036" w:rsidRDefault="00481036" w:rsidP="00735118">
            <w:pPr>
              <w:outlineLvl w:val="0"/>
              <w:rPr>
                <w:sz w:val="28"/>
                <w:szCs w:val="28"/>
              </w:rPr>
            </w:pPr>
            <w:r w:rsidRPr="00AB0196">
              <w:rPr>
                <w:sz w:val="28"/>
                <w:szCs w:val="28"/>
                <w:lang w:val="en-SG"/>
              </w:rPr>
              <w:t xml:space="preserve">Account name: Rosatom South East Asia PTE. </w:t>
            </w:r>
            <w:r>
              <w:rPr>
                <w:sz w:val="28"/>
                <w:szCs w:val="28"/>
              </w:rPr>
              <w:t>LTD</w:t>
            </w:r>
          </w:p>
        </w:tc>
      </w:tr>
      <w:tr w:rsidR="00481036" w:rsidTr="00735118">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rsidR="00481036" w:rsidRDefault="00481036" w:rsidP="00735118">
            <w:pPr>
              <w:outlineLvl w:val="0"/>
              <w:rPr>
                <w:sz w:val="28"/>
                <w:szCs w:val="28"/>
              </w:rPr>
            </w:pPr>
            <w:r>
              <w:rPr>
                <w:sz w:val="28"/>
                <w:szCs w:val="28"/>
              </w:rPr>
              <w:t>Account № :  048-904426-8</w:t>
            </w:r>
          </w:p>
        </w:tc>
      </w:tr>
      <w:tr w:rsidR="00481036" w:rsidTr="00735118">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rsidR="00481036" w:rsidRDefault="00481036" w:rsidP="00735118">
            <w:pPr>
              <w:outlineLvl w:val="0"/>
              <w:rPr>
                <w:sz w:val="28"/>
                <w:szCs w:val="28"/>
              </w:rPr>
            </w:pPr>
            <w:r>
              <w:rPr>
                <w:sz w:val="28"/>
                <w:szCs w:val="28"/>
              </w:rPr>
              <w:t>Swift Code: DBSSSGSG</w:t>
            </w:r>
          </w:p>
        </w:tc>
      </w:tr>
      <w:tr w:rsidR="00481036" w:rsidRPr="00673020" w:rsidTr="00735118">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rsidR="00481036" w:rsidRPr="00AB0196" w:rsidRDefault="00481036" w:rsidP="00735118">
            <w:pPr>
              <w:outlineLvl w:val="0"/>
              <w:rPr>
                <w:sz w:val="28"/>
                <w:szCs w:val="28"/>
                <w:lang w:val="en-SG"/>
              </w:rPr>
            </w:pPr>
            <w:r w:rsidRPr="00AB0196">
              <w:rPr>
                <w:sz w:val="28"/>
                <w:szCs w:val="28"/>
                <w:lang w:val="en-SG"/>
              </w:rPr>
              <w:t>Bank address: Raffles Place branch, 22 Malacca street, #01-00 RB Capital building, Singapore  048980</w:t>
            </w:r>
          </w:p>
        </w:tc>
      </w:tr>
      <w:tr w:rsidR="00481036" w:rsidRPr="00673020" w:rsidTr="00735118">
        <w:trPr>
          <w:gridBefore w:val="1"/>
          <w:wBefore w:w="142" w:type="dxa"/>
          <w:trHeight w:val="390"/>
        </w:trPr>
        <w:tc>
          <w:tcPr>
            <w:tcW w:w="9026" w:type="dxa"/>
            <w:gridSpan w:val="2"/>
            <w:tcBorders>
              <w:top w:val="nil"/>
              <w:left w:val="nil"/>
              <w:bottom w:val="nil"/>
              <w:right w:val="nil"/>
            </w:tcBorders>
            <w:shd w:val="clear" w:color="auto" w:fill="auto"/>
            <w:noWrap/>
            <w:vAlign w:val="bottom"/>
            <w:hideMark/>
          </w:tcPr>
          <w:p w:rsidR="00481036" w:rsidRPr="00FD41D4" w:rsidRDefault="00481036" w:rsidP="00735118">
            <w:pPr>
              <w:outlineLvl w:val="0"/>
              <w:rPr>
                <w:sz w:val="28"/>
                <w:szCs w:val="28"/>
                <w:lang w:val="en-SG"/>
              </w:rPr>
            </w:pPr>
          </w:p>
        </w:tc>
      </w:tr>
    </w:tbl>
    <w:p w:rsidR="00481036" w:rsidRPr="00487D30" w:rsidRDefault="00481036" w:rsidP="00481036">
      <w:pPr>
        <w:tabs>
          <w:tab w:val="left" w:pos="1134"/>
        </w:tabs>
        <w:ind w:firstLine="709"/>
        <w:contextualSpacing/>
        <w:jc w:val="both"/>
        <w:rPr>
          <w:spacing w:val="-6"/>
          <w:sz w:val="28"/>
          <w:szCs w:val="28"/>
          <w:lang w:val="en-US"/>
        </w:rPr>
      </w:pPr>
    </w:p>
    <w:p w:rsidR="00481036" w:rsidRDefault="00481036" w:rsidP="00481036">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 [lot number and item],)</w:t>
      </w:r>
      <w:r>
        <w:rPr>
          <w:spacing w:val="-6"/>
          <w:sz w:val="28"/>
          <w:szCs w:val="28"/>
          <w:lang w:val="en-US"/>
        </w:rPr>
        <w:t xml:space="preserve">, not subject to </w:t>
      </w:r>
      <w:r>
        <w:rPr>
          <w:sz w:val="28"/>
          <w:szCs w:val="28"/>
          <w:lang w:val="en-US"/>
        </w:rPr>
        <w:t>VAT</w:t>
      </w:r>
      <w:r>
        <w:rPr>
          <w:spacing w:val="-6"/>
          <w:sz w:val="28"/>
          <w:szCs w:val="28"/>
          <w:lang w:val="en-US"/>
        </w:rPr>
        <w:t>.</w:t>
      </w:r>
    </w:p>
    <w:p w:rsidR="00481036" w:rsidRDefault="00481036" w:rsidP="00481036">
      <w:pPr>
        <w:tabs>
          <w:tab w:val="left" w:pos="1134"/>
        </w:tabs>
        <w:ind w:firstLine="709"/>
        <w:contextualSpacing/>
        <w:jc w:val="both"/>
        <w:rPr>
          <w:rFonts w:eastAsia="Calibri"/>
          <w:b/>
          <w:i/>
          <w:lang w:val="en-US" w:eastAsia="en-US"/>
        </w:rPr>
      </w:pPr>
      <w:r>
        <w:rPr>
          <w:rFonts w:eastAsia="Calibri"/>
          <w:b/>
          <w:i/>
          <w:lang w:val="en-US" w:eastAsia="en-US"/>
        </w:rPr>
        <w:t>[If a participant takes part in the procurement on several lots, the procurement bid security shall be provided for each lot].</w:t>
      </w:r>
    </w:p>
    <w:p w:rsidR="00481036" w:rsidRDefault="00481036" w:rsidP="00481036">
      <w:pPr>
        <w:pStyle w:val="a5"/>
        <w:tabs>
          <w:tab w:val="left" w:pos="0"/>
          <w:tab w:val="left" w:pos="1134"/>
        </w:tabs>
        <w:spacing w:after="0" w:line="240" w:lineRule="auto"/>
        <w:ind w:left="709"/>
        <w:jc w:val="both"/>
        <w:rPr>
          <w:rFonts w:ascii="Times New Roman" w:hAnsi="Times New Roman"/>
          <w:b/>
          <w:i/>
          <w:sz w:val="24"/>
          <w:lang w:val="en-US"/>
        </w:rPr>
      </w:pPr>
    </w:p>
    <w:p w:rsidR="00481036" w:rsidRDefault="00481036" w:rsidP="00481036">
      <w:pPr>
        <w:tabs>
          <w:tab w:val="left" w:pos="1134"/>
        </w:tabs>
        <w:ind w:firstLine="709"/>
        <w:contextualSpacing/>
        <w:jc w:val="both"/>
        <w:rPr>
          <w:rFonts w:eastAsia="Calibri"/>
          <w:lang w:val="en-US" w:eastAsia="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481036" w:rsidRDefault="00481036" w:rsidP="00481036">
      <w:pPr>
        <w:tabs>
          <w:tab w:val="left" w:pos="1134"/>
        </w:tabs>
        <w:ind w:firstLine="709"/>
        <w:contextualSpacing/>
        <w:jc w:val="both"/>
        <w:rPr>
          <w:sz w:val="28"/>
          <w:szCs w:val="28"/>
          <w:lang w:val="en-US"/>
        </w:rPr>
      </w:pPr>
      <w:r>
        <w:rPr>
          <w:sz w:val="28"/>
          <w:szCs w:val="28"/>
          <w:lang w:val="en-US"/>
        </w:rPr>
        <w:lastRenderedPageBreak/>
        <w:t>Procurement shall be executed in accordance with the terms and conditions and requirements of the procurement documentation.</w:t>
      </w:r>
    </w:p>
    <w:p w:rsidR="00481036" w:rsidRDefault="00481036" w:rsidP="00481036">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481036" w:rsidRDefault="00481036" w:rsidP="00481036">
      <w:pPr>
        <w:tabs>
          <w:tab w:val="left" w:pos="1134"/>
        </w:tabs>
        <w:ind w:firstLine="709"/>
        <w:contextualSpacing/>
        <w:jc w:val="both"/>
        <w:rPr>
          <w:sz w:val="28"/>
          <w:szCs w:val="28"/>
          <w:lang w:val="en-US"/>
        </w:rPr>
      </w:pPr>
      <w:bookmarkStart w:id="8" w:name="_Ref438465267"/>
      <w:r>
        <w:rPr>
          <w:sz w:val="28"/>
          <w:szCs w:val="28"/>
          <w:lang w:val="en-US"/>
        </w:rPr>
        <w:t>The procurement bid shall be valid for at least 60 calendar days from the date established as deadline for submission of bids.</w:t>
      </w:r>
      <w:bookmarkEnd w:id="8"/>
    </w:p>
    <w:p w:rsidR="00481036" w:rsidRDefault="00481036" w:rsidP="00481036">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481036" w:rsidRDefault="00481036" w:rsidP="00481036">
      <w:pPr>
        <w:tabs>
          <w:tab w:val="left" w:pos="1134"/>
        </w:tabs>
        <w:contextualSpacing/>
        <w:jc w:val="both"/>
        <w:rPr>
          <w:spacing w:val="-6"/>
          <w:sz w:val="28"/>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481036" w:rsidRDefault="00481036" w:rsidP="00481036">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481036" w:rsidRDefault="00481036" w:rsidP="00481036">
      <w:pPr>
        <w:tabs>
          <w:tab w:val="left" w:pos="386"/>
        </w:tabs>
        <w:ind w:firstLine="709"/>
        <w:jc w:val="both"/>
        <w:rPr>
          <w:sz w:val="28"/>
          <w:szCs w:val="28"/>
          <w:lang w:val="en-US"/>
        </w:rPr>
      </w:pPr>
      <w:r>
        <w:rPr>
          <w:sz w:val="28"/>
          <w:szCs w:val="28"/>
          <w:lang w:val="en-US"/>
        </w:rPr>
        <w:t>Official publication of documents related to this procurement: http://zakupki.rosatom.ru</w:t>
      </w:r>
      <w:r>
        <w:rPr>
          <w:lang w:val="en-US"/>
        </w:rPr>
        <w:t>/</w:t>
      </w:r>
      <w:r>
        <w:rPr>
          <w:sz w:val="28"/>
          <w:szCs w:val="28"/>
          <w:lang w:val="en-US"/>
        </w:rPr>
        <w:t>.</w:t>
      </w:r>
    </w:p>
    <w:p w:rsidR="00481036" w:rsidRDefault="00481036" w:rsidP="00481036">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sidRPr="007C5654">
        <w:rPr>
          <w:rStyle w:val="a4"/>
          <w:sz w:val="28"/>
          <w:szCs w:val="28"/>
          <w:lang w:val="en-US"/>
        </w:rPr>
        <w:t>http://www.rosatom-asia.com/</w:t>
      </w:r>
      <w:r w:rsidRPr="007C5654">
        <w:rPr>
          <w:sz w:val="28"/>
          <w:szCs w:val="28"/>
          <w:lang w:val="en-US"/>
        </w:rPr>
        <w:t>.</w:t>
      </w:r>
    </w:p>
    <w:p w:rsidR="00481036" w:rsidRDefault="00481036" w:rsidP="00481036">
      <w:pPr>
        <w:tabs>
          <w:tab w:val="left" w:pos="386"/>
        </w:tabs>
        <w:ind w:firstLine="709"/>
        <w:contextualSpacing/>
        <w:jc w:val="both"/>
        <w:rPr>
          <w:sz w:val="28"/>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481036" w:rsidRDefault="00481036" w:rsidP="00481036">
      <w:pPr>
        <w:tabs>
          <w:tab w:val="left" w:pos="1134"/>
        </w:tabs>
        <w:ind w:firstLine="709"/>
        <w:contextualSpacing/>
        <w:jc w:val="both"/>
        <w:rPr>
          <w:spacing w:val="-6"/>
          <w:sz w:val="28"/>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481036" w:rsidRDefault="00481036" w:rsidP="00481036">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481036" w:rsidRDefault="00481036" w:rsidP="00481036">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481036" w:rsidRDefault="00481036" w:rsidP="00481036">
      <w:pPr>
        <w:pStyle w:val="Times12"/>
        <w:tabs>
          <w:tab w:val="left" w:pos="70"/>
        </w:tabs>
        <w:ind w:right="153" w:firstLine="0"/>
        <w:jc w:val="left"/>
        <w:rPr>
          <w:rFonts w:eastAsia="Calibri"/>
          <w:b/>
          <w:bCs w:val="0"/>
          <w:i/>
          <w:szCs w:val="24"/>
          <w:lang w:val="en-US" w:eastAsia="en-US"/>
        </w:rPr>
      </w:pPr>
    </w:p>
    <w:p w:rsidR="00481036" w:rsidRDefault="00481036" w:rsidP="00481036">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481036" w:rsidRDefault="00481036" w:rsidP="00481036">
      <w:pPr>
        <w:pStyle w:val="a5"/>
        <w:tabs>
          <w:tab w:val="left" w:pos="0"/>
          <w:tab w:val="left" w:pos="709"/>
        </w:tabs>
        <w:spacing w:after="0" w:line="240" w:lineRule="auto"/>
        <w:ind w:left="709"/>
        <w:jc w:val="both"/>
        <w:rPr>
          <w:rFonts w:ascii="Times New Roman" w:hAnsi="Times New Roman"/>
          <w:spacing w:val="-6"/>
          <w:sz w:val="28"/>
          <w:szCs w:val="28"/>
          <w:lang w:val="en-US"/>
        </w:rPr>
      </w:pPr>
    </w:p>
    <w:p w:rsidR="00481036" w:rsidRDefault="00481036" w:rsidP="00481036">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481036" w:rsidRDefault="00481036" w:rsidP="00481036">
      <w:pPr>
        <w:tabs>
          <w:tab w:val="left" w:pos="1134"/>
        </w:tabs>
        <w:ind w:firstLine="709"/>
        <w:contextualSpacing/>
        <w:jc w:val="both"/>
        <w:rPr>
          <w:spacing w:val="-6"/>
          <w:sz w:val="28"/>
          <w:szCs w:val="28"/>
          <w:lang w:val="en-US"/>
        </w:rPr>
      </w:pPr>
    </w:p>
    <w:p w:rsidR="00481036" w:rsidRPr="00A945C4" w:rsidRDefault="00481036" w:rsidP="00481036">
      <w:pPr>
        <w:pStyle w:val="a5"/>
        <w:numPr>
          <w:ilvl w:val="0"/>
          <w:numId w:val="3"/>
        </w:numPr>
        <w:tabs>
          <w:tab w:val="left" w:pos="0"/>
          <w:tab w:val="left" w:pos="1134"/>
        </w:tabs>
        <w:spacing w:after="0" w:line="240" w:lineRule="auto"/>
        <w:ind w:left="0" w:firstLine="709"/>
        <w:jc w:val="both"/>
        <w:rPr>
          <w:bCs/>
          <w:spacing w:val="-6"/>
          <w:sz w:val="28"/>
          <w:szCs w:val="28"/>
          <w:lang w:val="en-US"/>
        </w:rPr>
      </w:pPr>
      <w:bookmarkStart w:id="9" w:name="ч2аст91"/>
      <w:bookmarkStart w:id="10" w:name="ч2бст91"/>
      <w:bookmarkEnd w:id="9"/>
      <w:bookmarkEnd w:id="10"/>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481036" w:rsidRPr="00A945C4" w:rsidRDefault="00481036" w:rsidP="00481036">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481036" w:rsidRPr="00C06944" w:rsidRDefault="00481036" w:rsidP="00481036">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E64EEE">
        <w:rPr>
          <w:bCs/>
          <w:sz w:val="28"/>
          <w:szCs w:val="28"/>
          <w:lang w:val="en-US"/>
        </w:rPr>
        <w:t>:</w:t>
      </w:r>
      <w:r w:rsidRPr="00E64EEE">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10</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81036" w:rsidRPr="00C06944" w:rsidRDefault="00481036" w:rsidP="00481036">
      <w:pPr>
        <w:tabs>
          <w:tab w:val="left" w:pos="1134"/>
        </w:tabs>
        <w:ind w:firstLine="709"/>
        <w:contextualSpacing/>
        <w:jc w:val="both"/>
        <w:rPr>
          <w:bCs/>
          <w:spacing w:val="-6"/>
          <w:sz w:val="28"/>
          <w:szCs w:val="28"/>
          <w:lang w:val="en-US"/>
        </w:rPr>
      </w:pPr>
      <w:r w:rsidRPr="00C06944">
        <w:rPr>
          <w:bCs/>
          <w:spacing w:val="-6"/>
          <w:sz w:val="28"/>
          <w:szCs w:val="28"/>
          <w:lang w:val="en-US"/>
        </w:rPr>
        <w:t xml:space="preserve">Deadline for provision of clarifications </w:t>
      </w:r>
      <w:r w:rsidRPr="00C06944">
        <w:rPr>
          <w:bCs/>
          <w:sz w:val="28"/>
          <w:szCs w:val="28"/>
          <w:lang w:val="en-US"/>
        </w:rPr>
        <w:t xml:space="preserve">of the Procurement Documentation for requests received no later than </w:t>
      </w:r>
      <w:r>
        <w:rPr>
          <w:bCs/>
          <w:spacing w:val="-6"/>
          <w:sz w:val="28"/>
          <w:szCs w:val="28"/>
          <w:lang w:val="en-US"/>
        </w:rPr>
        <w:t>18</w:t>
      </w:r>
      <w:r w:rsidRPr="00C06944">
        <w:rPr>
          <w:bCs/>
          <w:spacing w:val="-6"/>
          <w:sz w:val="28"/>
          <w:szCs w:val="28"/>
          <w:lang w:val="en-US"/>
        </w:rPr>
        <w:t xml:space="preserve">-00 (Local </w:t>
      </w:r>
      <w:r w:rsidRPr="00C06944">
        <w:rPr>
          <w:spacing w:val="-6"/>
          <w:sz w:val="28"/>
          <w:szCs w:val="28"/>
          <w:lang w:val="en-US"/>
        </w:rPr>
        <w:t>time</w:t>
      </w:r>
      <w:r w:rsidRPr="00C06944">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16</w:t>
      </w:r>
      <w:r w:rsidRPr="00C06944">
        <w:rPr>
          <w:bCs/>
          <w:spacing w:val="-6"/>
          <w:sz w:val="28"/>
          <w:szCs w:val="28"/>
          <w:lang w:val="en-US"/>
        </w:rPr>
        <w:t>, 202</w:t>
      </w:r>
      <w:r>
        <w:rPr>
          <w:bCs/>
          <w:spacing w:val="-6"/>
          <w:sz w:val="28"/>
          <w:szCs w:val="28"/>
          <w:lang w:val="en-US"/>
        </w:rPr>
        <w:t>2</w:t>
      </w:r>
      <w:r w:rsidRPr="00C06944">
        <w:rPr>
          <w:bCs/>
          <w:spacing w:val="-6"/>
          <w:sz w:val="28"/>
          <w:szCs w:val="28"/>
          <w:lang w:val="en-US"/>
        </w:rPr>
        <w:t xml:space="preserve">: no later than </w:t>
      </w:r>
      <w:r>
        <w:rPr>
          <w:bCs/>
          <w:spacing w:val="-6"/>
          <w:sz w:val="28"/>
          <w:szCs w:val="28"/>
          <w:lang w:val="en-US"/>
        </w:rPr>
        <w:t>March 21</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81036" w:rsidRPr="00C06944" w:rsidRDefault="00481036" w:rsidP="00481036">
      <w:pPr>
        <w:pStyle w:val="a5"/>
        <w:rPr>
          <w:rFonts w:ascii="Times New Roman" w:hAnsi="Times New Roman"/>
          <w:spacing w:val="-6"/>
          <w:sz w:val="28"/>
          <w:szCs w:val="28"/>
          <w:lang w:val="en-US"/>
        </w:rPr>
      </w:pPr>
    </w:p>
    <w:p w:rsidR="00481036" w:rsidRPr="00C06944"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C06944">
        <w:rPr>
          <w:rFonts w:ascii="Times New Roman" w:hAnsi="Times New Roman"/>
          <w:spacing w:val="-6"/>
          <w:sz w:val="28"/>
          <w:szCs w:val="28"/>
          <w:lang w:val="en-US"/>
        </w:rPr>
        <w:lastRenderedPageBreak/>
        <w:t xml:space="preserve">Starting date, date and time of the deadline for submission of procurement bids (opening access to submitted bids): </w:t>
      </w:r>
    </w:p>
    <w:p w:rsidR="00481036" w:rsidRPr="00C06944" w:rsidRDefault="00481036" w:rsidP="00481036">
      <w:pPr>
        <w:tabs>
          <w:tab w:val="left" w:pos="1134"/>
        </w:tabs>
        <w:ind w:firstLine="709"/>
        <w:contextualSpacing/>
        <w:jc w:val="both"/>
        <w:rPr>
          <w:bCs/>
          <w:spacing w:val="-6"/>
          <w:sz w:val="28"/>
          <w:szCs w:val="28"/>
          <w:lang w:val="en-US"/>
        </w:rPr>
      </w:pPr>
      <w:r w:rsidRPr="00C06944">
        <w:rPr>
          <w:bCs/>
          <w:spacing w:val="-6"/>
          <w:sz w:val="28"/>
          <w:szCs w:val="28"/>
          <w:lang w:val="en-US"/>
        </w:rPr>
        <w:t xml:space="preserve">Starting date of the timeframe for submission of procurement bids: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10</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81036" w:rsidRPr="00C06944" w:rsidRDefault="00481036" w:rsidP="00481036">
      <w:pPr>
        <w:tabs>
          <w:tab w:val="left" w:pos="1134"/>
        </w:tabs>
        <w:ind w:firstLine="709"/>
        <w:contextualSpacing/>
        <w:jc w:val="both"/>
        <w:rPr>
          <w:spacing w:val="-6"/>
          <w:sz w:val="28"/>
          <w:szCs w:val="28"/>
          <w:lang w:val="en-US"/>
        </w:rPr>
      </w:pPr>
      <w:r w:rsidRPr="00C06944">
        <w:rPr>
          <w:spacing w:val="-6"/>
          <w:sz w:val="28"/>
          <w:szCs w:val="28"/>
          <w:lang w:val="en-US"/>
        </w:rPr>
        <w:t>Place, d</w:t>
      </w:r>
      <w:r w:rsidRPr="00C06944">
        <w:rPr>
          <w:bCs/>
          <w:spacing w:val="-6"/>
          <w:sz w:val="28"/>
          <w:szCs w:val="28"/>
          <w:lang w:val="en-US"/>
        </w:rPr>
        <w:t xml:space="preserve">ate and time of the deadline for submission of procurement bids: </w:t>
      </w:r>
      <w:r w:rsidRPr="00A06C4F">
        <w:rPr>
          <w:bCs/>
          <w:spacing w:val="-6"/>
          <w:sz w:val="28"/>
          <w:szCs w:val="28"/>
          <w:lang w:val="en-US"/>
        </w:rPr>
        <w:t>20 Collyer Quay #09-05, Singapore 049319,</w:t>
      </w:r>
      <w:r w:rsidRPr="00C06944">
        <w:rPr>
          <w:bCs/>
          <w:spacing w:val="-6"/>
          <w:sz w:val="28"/>
          <w:szCs w:val="28"/>
          <w:lang w:val="en-US"/>
        </w:rPr>
        <w:t xml:space="preserve"> no later than 1</w:t>
      </w:r>
      <w:r>
        <w:rPr>
          <w:bCs/>
          <w:spacing w:val="-6"/>
          <w:sz w:val="28"/>
          <w:szCs w:val="28"/>
          <w:lang w:val="en-US"/>
        </w:rPr>
        <w:t>7</w:t>
      </w:r>
      <w:r w:rsidRPr="00C06944">
        <w:rPr>
          <w:bCs/>
          <w:spacing w:val="-6"/>
          <w:sz w:val="28"/>
          <w:szCs w:val="28"/>
          <w:lang w:val="en-US"/>
        </w:rPr>
        <w:t xml:space="preserve">:00 (Local </w:t>
      </w:r>
      <w:r w:rsidRPr="00C06944">
        <w:rPr>
          <w:spacing w:val="-6"/>
          <w:sz w:val="28"/>
          <w:szCs w:val="28"/>
          <w:lang w:val="en-US"/>
        </w:rPr>
        <w:t>time</w:t>
      </w:r>
      <w:r w:rsidRPr="00C06944">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22</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81036" w:rsidRPr="00C06944" w:rsidRDefault="00481036" w:rsidP="00481036">
      <w:pPr>
        <w:tabs>
          <w:tab w:val="left" w:pos="1134"/>
        </w:tabs>
        <w:ind w:firstLine="709"/>
        <w:contextualSpacing/>
        <w:jc w:val="both"/>
        <w:rPr>
          <w:b/>
          <w:i/>
          <w:sz w:val="28"/>
          <w:szCs w:val="28"/>
          <w:lang w:val="en-US"/>
        </w:rPr>
      </w:pPr>
    </w:p>
    <w:p w:rsidR="00481036" w:rsidRPr="00C06944" w:rsidRDefault="00481036" w:rsidP="00481036">
      <w:pPr>
        <w:tabs>
          <w:tab w:val="left" w:pos="1134"/>
        </w:tabs>
        <w:ind w:firstLine="709"/>
        <w:contextualSpacing/>
        <w:jc w:val="both"/>
        <w:rPr>
          <w:spacing w:val="-6"/>
          <w:sz w:val="28"/>
          <w:szCs w:val="28"/>
          <w:lang w:val="en-US"/>
        </w:rPr>
      </w:pPr>
      <w:r w:rsidRPr="00C06944">
        <w:rPr>
          <w:spacing w:val="-6"/>
          <w:sz w:val="28"/>
          <w:szCs w:val="28"/>
          <w:lang w:val="en-US"/>
        </w:rPr>
        <w:t>Place, date and time of holding the procurement committe</w:t>
      </w:r>
      <w:r>
        <w:rPr>
          <w:spacing w:val="-6"/>
          <w:sz w:val="28"/>
          <w:szCs w:val="28"/>
          <w:lang w:val="en-US"/>
        </w:rPr>
        <w:t xml:space="preserve">e meeting (when such meeting is </w:t>
      </w:r>
      <w:r w:rsidRPr="00C06944">
        <w:rPr>
          <w:spacing w:val="-6"/>
          <w:sz w:val="28"/>
          <w:szCs w:val="28"/>
          <w:lang w:val="en-US"/>
        </w:rPr>
        <w:t xml:space="preserve">held): </w:t>
      </w:r>
      <w:r w:rsidRPr="00A06C4F">
        <w:rPr>
          <w:bCs/>
          <w:spacing w:val="-6"/>
          <w:sz w:val="28"/>
          <w:szCs w:val="28"/>
          <w:lang w:val="en-US"/>
        </w:rPr>
        <w:t>20 Collyer Quay #09-05, Singapore 049319</w:t>
      </w:r>
      <w:r w:rsidRPr="00C06944">
        <w:rPr>
          <w:sz w:val="28"/>
          <w:szCs w:val="28"/>
          <w:lang w:val="en"/>
        </w:rPr>
        <w:t xml:space="preserve">, </w:t>
      </w:r>
      <w:r w:rsidRPr="00C06944">
        <w:rPr>
          <w:bCs/>
          <w:spacing w:val="-6"/>
          <w:sz w:val="28"/>
          <w:szCs w:val="28"/>
          <w:lang w:val="en-US"/>
        </w:rPr>
        <w:t>1</w:t>
      </w:r>
      <w:r>
        <w:rPr>
          <w:bCs/>
          <w:spacing w:val="-6"/>
          <w:sz w:val="28"/>
          <w:szCs w:val="28"/>
          <w:lang w:val="en-US"/>
        </w:rPr>
        <w:t>7</w:t>
      </w:r>
      <w:r w:rsidRPr="00C06944">
        <w:rPr>
          <w:bCs/>
          <w:spacing w:val="-6"/>
          <w:sz w:val="28"/>
          <w:szCs w:val="28"/>
          <w:lang w:val="en-US"/>
        </w:rPr>
        <w:t xml:space="preserve">:00 (Local </w:t>
      </w:r>
      <w:r w:rsidRPr="00C06944">
        <w:rPr>
          <w:spacing w:val="-6"/>
          <w:sz w:val="28"/>
          <w:szCs w:val="28"/>
          <w:lang w:val="en-US"/>
        </w:rPr>
        <w:t>time</w:t>
      </w:r>
      <w:r w:rsidRPr="00C06944">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22</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81036" w:rsidRPr="00C06944" w:rsidRDefault="00481036" w:rsidP="00481036">
      <w:pPr>
        <w:tabs>
          <w:tab w:val="left" w:pos="1134"/>
        </w:tabs>
        <w:ind w:left="709"/>
        <w:contextualSpacing/>
        <w:jc w:val="both"/>
        <w:rPr>
          <w:spacing w:val="-6"/>
          <w:sz w:val="28"/>
          <w:szCs w:val="28"/>
          <w:lang w:val="en-US"/>
        </w:rPr>
      </w:pPr>
    </w:p>
    <w:p w:rsidR="00481036" w:rsidRPr="00C06944"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C06944">
        <w:rPr>
          <w:rFonts w:ascii="Times New Roman" w:hAnsi="Times New Roman"/>
          <w:spacing w:val="-6"/>
          <w:sz w:val="28"/>
          <w:szCs w:val="28"/>
          <w:lang w:val="en-US"/>
        </w:rPr>
        <w:t xml:space="preserve">Place and date of consideration of bids and summing up of the procurement results: </w:t>
      </w:r>
    </w:p>
    <w:p w:rsidR="00481036" w:rsidRPr="00C06944" w:rsidRDefault="00481036" w:rsidP="00481036">
      <w:pPr>
        <w:tabs>
          <w:tab w:val="left" w:pos="1134"/>
        </w:tabs>
        <w:ind w:firstLine="709"/>
        <w:contextualSpacing/>
        <w:jc w:val="both"/>
        <w:rPr>
          <w:sz w:val="28"/>
          <w:szCs w:val="28"/>
          <w:lang w:val="en-US"/>
        </w:rPr>
      </w:pPr>
      <w:r w:rsidRPr="00C06944">
        <w:rPr>
          <w:sz w:val="28"/>
          <w:szCs w:val="28"/>
          <w:lang w:val="en-US"/>
        </w:rPr>
        <w:t xml:space="preserve">The selection stage of consideration of procurement bids: </w:t>
      </w:r>
    </w:p>
    <w:p w:rsidR="00481036" w:rsidRPr="00C06944" w:rsidRDefault="00481036" w:rsidP="00481036">
      <w:pPr>
        <w:tabs>
          <w:tab w:val="left" w:pos="1134"/>
        </w:tabs>
        <w:ind w:firstLine="709"/>
        <w:contextualSpacing/>
        <w:jc w:val="both"/>
        <w:rPr>
          <w:b/>
          <w:i/>
          <w:sz w:val="28"/>
          <w:szCs w:val="28"/>
          <w:lang w:val="en-US"/>
        </w:rPr>
      </w:pPr>
      <w:r w:rsidRPr="00A06C4F">
        <w:rPr>
          <w:bCs/>
          <w:spacing w:val="-6"/>
          <w:sz w:val="28"/>
          <w:szCs w:val="28"/>
          <w:lang w:val="en-US"/>
        </w:rPr>
        <w:t>20 Collyer Quay #09-05, Singapore 049319</w:t>
      </w:r>
      <w:r w:rsidRPr="00C06944">
        <w:rPr>
          <w:sz w:val="28"/>
          <w:szCs w:val="28"/>
          <w:lang w:val="en"/>
        </w:rPr>
        <w:t>,</w:t>
      </w:r>
      <w:r w:rsidRPr="00C06944">
        <w:rPr>
          <w:sz w:val="28"/>
          <w:szCs w:val="28"/>
          <w:lang w:val="en-US"/>
        </w:rPr>
        <w:t xml:space="preserve"> no later than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29</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81036" w:rsidRPr="00C06944" w:rsidRDefault="00481036" w:rsidP="00481036">
      <w:pPr>
        <w:tabs>
          <w:tab w:val="left" w:pos="1134"/>
        </w:tabs>
        <w:ind w:firstLine="709"/>
        <w:contextualSpacing/>
        <w:jc w:val="both"/>
        <w:rPr>
          <w:sz w:val="28"/>
          <w:szCs w:val="28"/>
          <w:lang w:val="en-US"/>
        </w:rPr>
      </w:pPr>
    </w:p>
    <w:p w:rsidR="00481036" w:rsidRPr="00C06944" w:rsidRDefault="00481036" w:rsidP="00481036">
      <w:pPr>
        <w:tabs>
          <w:tab w:val="left" w:pos="1134"/>
        </w:tabs>
        <w:ind w:firstLine="709"/>
        <w:contextualSpacing/>
        <w:jc w:val="both"/>
        <w:rPr>
          <w:sz w:val="28"/>
          <w:szCs w:val="28"/>
          <w:lang w:val="en-US"/>
        </w:rPr>
      </w:pPr>
      <w:r w:rsidRPr="00C06944">
        <w:rPr>
          <w:sz w:val="28"/>
          <w:szCs w:val="28"/>
          <w:lang w:val="en-US"/>
        </w:rPr>
        <w:t xml:space="preserve">The assessment stage of consideration of procurement bids and summing up of the procurement results: </w:t>
      </w:r>
    </w:p>
    <w:p w:rsidR="00481036" w:rsidRPr="00E64EEE" w:rsidRDefault="00481036" w:rsidP="00481036">
      <w:pPr>
        <w:tabs>
          <w:tab w:val="left" w:pos="1134"/>
        </w:tabs>
        <w:ind w:firstLine="709"/>
        <w:contextualSpacing/>
        <w:jc w:val="both"/>
        <w:rPr>
          <w:b/>
          <w:i/>
          <w:sz w:val="28"/>
          <w:szCs w:val="28"/>
          <w:lang w:val="en-US"/>
        </w:rPr>
      </w:pPr>
      <w:r w:rsidRPr="00A06C4F">
        <w:rPr>
          <w:bCs/>
          <w:spacing w:val="-6"/>
          <w:sz w:val="28"/>
          <w:szCs w:val="28"/>
          <w:lang w:val="en-US"/>
        </w:rPr>
        <w:t>20 Collyer Quay #09-05, Singapore 049319</w:t>
      </w:r>
      <w:r w:rsidRPr="00C06944">
        <w:rPr>
          <w:sz w:val="28"/>
          <w:szCs w:val="28"/>
          <w:lang w:val="en"/>
        </w:rPr>
        <w:t>,</w:t>
      </w:r>
      <w:r w:rsidRPr="00C06944">
        <w:rPr>
          <w:sz w:val="28"/>
          <w:szCs w:val="28"/>
          <w:lang w:val="en-US"/>
        </w:rPr>
        <w:t xml:space="preserve"> no later than </w:t>
      </w:r>
      <w:r>
        <w:rPr>
          <w:bCs/>
          <w:spacing w:val="-6"/>
          <w:sz w:val="28"/>
          <w:szCs w:val="28"/>
          <w:lang w:val="en-US"/>
        </w:rPr>
        <w:t>April 05</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81036" w:rsidRPr="00AB5A19" w:rsidRDefault="00481036" w:rsidP="00481036">
      <w:pPr>
        <w:tabs>
          <w:tab w:val="left" w:pos="1134"/>
        </w:tabs>
        <w:ind w:firstLine="709"/>
        <w:contextualSpacing/>
        <w:jc w:val="both"/>
        <w:rPr>
          <w:sz w:val="28"/>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481036" w:rsidRDefault="00481036" w:rsidP="00481036">
      <w:pPr>
        <w:tabs>
          <w:tab w:val="left" w:pos="1134"/>
        </w:tabs>
        <w:ind w:firstLine="709"/>
        <w:contextualSpacing/>
        <w:jc w:val="both"/>
        <w:rPr>
          <w:sz w:val="28"/>
          <w:lang w:val="en-US"/>
        </w:rPr>
      </w:pPr>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481036" w:rsidRDefault="00481036" w:rsidP="00481036">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481036" w:rsidRDefault="00481036" w:rsidP="00481036">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481036" w:rsidRDefault="00481036" w:rsidP="00481036">
      <w:pPr>
        <w:tabs>
          <w:tab w:val="left" w:pos="1134"/>
        </w:tabs>
        <w:ind w:firstLine="709"/>
        <w:contextualSpacing/>
        <w:jc w:val="both"/>
        <w:rPr>
          <w:sz w:val="28"/>
          <w:lang w:val="en-US"/>
        </w:rPr>
      </w:pPr>
    </w:p>
    <w:p w:rsidR="00481036" w:rsidRDefault="00481036" w:rsidP="0048103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426B46">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481036" w:rsidRDefault="00481036" w:rsidP="00481036">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481036" w:rsidRDefault="00481036" w:rsidP="0048103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481036" w:rsidRDefault="00481036" w:rsidP="00481036">
      <w:pPr>
        <w:tabs>
          <w:tab w:val="left" w:pos="1134"/>
        </w:tabs>
        <w:ind w:left="709"/>
        <w:contextualSpacing/>
        <w:jc w:val="both"/>
        <w:rPr>
          <w:spacing w:val="-6"/>
          <w:sz w:val="32"/>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lastRenderedPageBreak/>
        <w:t xml:space="preserve">Ensuring the </w:t>
      </w:r>
      <w:r>
        <w:rPr>
          <w:rFonts w:ascii="Times New Roman" w:hAnsi="Times New Roman"/>
          <w:spacing w:val="-6"/>
          <w:sz w:val="28"/>
          <w:szCs w:val="28"/>
          <w:lang w:val="en-US"/>
        </w:rPr>
        <w:t xml:space="preserve">fulfillment of obligations under the contract: not required. </w:t>
      </w:r>
    </w:p>
    <w:p w:rsidR="00481036" w:rsidRDefault="00481036" w:rsidP="00481036">
      <w:pPr>
        <w:tabs>
          <w:tab w:val="left" w:pos="1134"/>
        </w:tabs>
        <w:ind w:left="709"/>
        <w:contextualSpacing/>
        <w:jc w:val="both"/>
        <w:rPr>
          <w:rFonts w:eastAsia="Calibri"/>
          <w:spacing w:val="-6"/>
          <w:sz w:val="28"/>
          <w:szCs w:val="28"/>
          <w:lang w:val="en-US" w:eastAsia="en-US"/>
        </w:rPr>
      </w:pPr>
    </w:p>
    <w:p w:rsidR="00481036" w:rsidRDefault="00481036" w:rsidP="00481036">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481036" w:rsidRDefault="00481036" w:rsidP="00481036">
      <w:pPr>
        <w:tabs>
          <w:tab w:val="left" w:pos="0"/>
          <w:tab w:val="left" w:pos="1134"/>
        </w:tabs>
        <w:ind w:left="709"/>
        <w:contextualSpacing/>
        <w:jc w:val="both"/>
        <w:rPr>
          <w:sz w:val="28"/>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481036" w:rsidRDefault="00481036" w:rsidP="00481036">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programs that have rendered purchasing the respective goods/works/services unnecessary;</w:t>
      </w:r>
    </w:p>
    <w:p w:rsidR="00481036" w:rsidRDefault="00481036" w:rsidP="00481036">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481036" w:rsidRDefault="00481036" w:rsidP="00481036">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481036" w:rsidRDefault="00481036" w:rsidP="00481036">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authorized supervisory authority;</w:t>
      </w:r>
    </w:p>
    <w:p w:rsidR="00481036" w:rsidRDefault="00481036" w:rsidP="00481036">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481036" w:rsidRDefault="00481036" w:rsidP="00481036">
      <w:pPr>
        <w:pStyle w:val="a5"/>
        <w:tabs>
          <w:tab w:val="left" w:pos="1134"/>
        </w:tabs>
        <w:ind w:left="709"/>
        <w:jc w:val="both"/>
        <w:rPr>
          <w:rFonts w:ascii="Times New Roman" w:hAnsi="Times New Roman"/>
          <w:sz w:val="28"/>
          <w:szCs w:val="28"/>
          <w:lang w:val="en-US"/>
        </w:rPr>
      </w:pPr>
    </w:p>
    <w:p w:rsidR="00481036" w:rsidRDefault="00481036" w:rsidP="0048103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481036" w:rsidRPr="007A5F34" w:rsidRDefault="00481036" w:rsidP="00481036">
      <w:pPr>
        <w:pStyle w:val="a5"/>
        <w:tabs>
          <w:tab w:val="left" w:pos="0"/>
          <w:tab w:val="left" w:pos="1134"/>
        </w:tabs>
        <w:spacing w:after="0" w:line="240" w:lineRule="auto"/>
        <w:ind w:left="0" w:firstLine="709"/>
        <w:jc w:val="both"/>
        <w:rPr>
          <w:rFonts w:ascii="Times New Roman" w:hAnsi="Times New Roman"/>
          <w:sz w:val="28"/>
          <w:szCs w:val="28"/>
          <w:lang w:val="en-US"/>
        </w:rPr>
        <w:sectPr w:rsidR="00481036" w:rsidRPr="007A5F34">
          <w:pgSz w:w="11907" w:h="16840" w:code="9"/>
          <w:pgMar w:top="709" w:right="708" w:bottom="426" w:left="851" w:header="567" w:footer="0" w:gutter="0"/>
          <w:cols w:space="708"/>
          <w:docGrid w:linePitch="360"/>
        </w:sectPr>
      </w:pPr>
      <w:r>
        <w:rPr>
          <w:rFonts w:ascii="Times New Roman" w:hAnsi="Times New Roman"/>
          <w:sz w:val="28"/>
          <w:szCs w:val="28"/>
          <w:lang w:val="en-US"/>
        </w:rPr>
        <w:t xml:space="preserve">Rosatom State Corporation’s Central Arbitration Committee (CAC) - </w:t>
      </w:r>
      <w:r w:rsidRPr="000E106C">
        <w:rPr>
          <w:rFonts w:ascii="Times New Roman" w:hAnsi="Times New Roman"/>
          <w:sz w:val="28"/>
          <w:szCs w:val="28"/>
          <w:lang w:val="en-US"/>
        </w:rPr>
        <w:t>arbitration@rosatom.ru</w:t>
      </w:r>
    </w:p>
    <w:p w:rsidR="00884158" w:rsidRPr="00481036" w:rsidRDefault="00884158">
      <w:pPr>
        <w:rPr>
          <w:lang w:val="en-US"/>
        </w:rPr>
      </w:pPr>
    </w:p>
    <w:sectPr w:rsidR="00884158" w:rsidRPr="00481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08D0437"/>
    <w:multiLevelType w:val="hybridMultilevel"/>
    <w:tmpl w:val="D3760DA2"/>
    <w:lvl w:ilvl="0" w:tplc="6A0CDC7E">
      <w:start w:val="1"/>
      <w:numFmt w:val="decimal"/>
      <w:lvlText w:val="%1)"/>
      <w:lvlJc w:val="left"/>
      <w:pPr>
        <w:ind w:left="5180"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B9"/>
    <w:rsid w:val="00481036"/>
    <w:rsid w:val="006707B9"/>
    <w:rsid w:val="0088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A116B-B2A8-4E0C-A40E-F8BDC932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10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481036"/>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481036"/>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481036"/>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481036"/>
    <w:rPr>
      <w:rFonts w:ascii="Arial" w:eastAsia="Times New Roman" w:hAnsi="Arial" w:cs="Arial"/>
      <w:b/>
      <w:bCs/>
      <w:i/>
      <w:iCs/>
      <w:sz w:val="28"/>
      <w:szCs w:val="28"/>
      <w:lang w:eastAsia="ru-RU"/>
    </w:rPr>
  </w:style>
  <w:style w:type="paragraph" w:customStyle="1" w:styleId="a">
    <w:name w:val="Пункт"/>
    <w:basedOn w:val="a0"/>
    <w:rsid w:val="00481036"/>
    <w:pPr>
      <w:numPr>
        <w:ilvl w:val="2"/>
        <w:numId w:val="1"/>
      </w:numPr>
      <w:spacing w:line="360" w:lineRule="auto"/>
      <w:jc w:val="both"/>
    </w:pPr>
    <w:rPr>
      <w:snapToGrid w:val="0"/>
      <w:sz w:val="28"/>
      <w:szCs w:val="28"/>
    </w:rPr>
  </w:style>
  <w:style w:type="character" w:styleId="a4">
    <w:name w:val="Hyperlink"/>
    <w:uiPriority w:val="99"/>
    <w:rsid w:val="00481036"/>
    <w:rPr>
      <w:color w:val="0000FF"/>
      <w:u w:val="single"/>
    </w:rPr>
  </w:style>
  <w:style w:type="paragraph" w:customStyle="1" w:styleId="Times12">
    <w:name w:val="Times 12"/>
    <w:basedOn w:val="a0"/>
    <w:rsid w:val="00481036"/>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481036"/>
    <w:pPr>
      <w:spacing w:after="200" w:line="276" w:lineRule="auto"/>
      <w:ind w:left="720"/>
      <w:contextualSpacing/>
    </w:pPr>
    <w:rPr>
      <w:rFonts w:ascii="Calibri" w:eastAsia="Calibri" w:hAnsi="Calibri"/>
      <w:sz w:val="22"/>
      <w:szCs w:val="22"/>
      <w:lang w:eastAsia="en-US"/>
    </w:rPr>
  </w:style>
  <w:style w:type="table" w:styleId="a7">
    <w:name w:val="Table Grid"/>
    <w:basedOn w:val="a2"/>
    <w:rsid w:val="00481036"/>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4810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11764</Characters>
  <Application>Microsoft Office Word</Application>
  <DocSecurity>0</DocSecurity>
  <Lines>98</Lines>
  <Paragraphs>27</Paragraphs>
  <ScaleCrop>false</ScaleCrop>
  <Company>SPecialiST RePack</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2022-03-10T10:08:00Z</dcterms:created>
  <dcterms:modified xsi:type="dcterms:W3CDTF">2022-03-10T10:09:00Z</dcterms:modified>
</cp:coreProperties>
</file>